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ED6" w:rsidRDefault="00FF1ED6" w:rsidP="00FF1ED6">
      <w:pPr>
        <w:pStyle w:val="Antrats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Projektas</w:t>
      </w:r>
    </w:p>
    <w:p w:rsidR="000C49E2" w:rsidRDefault="000C49E2" w:rsidP="00F158CA">
      <w:pPr>
        <w:pStyle w:val="Antrats"/>
        <w:jc w:val="center"/>
        <w:rPr>
          <w:b/>
          <w:sz w:val="28"/>
          <w:szCs w:val="28"/>
        </w:rPr>
      </w:pPr>
    </w:p>
    <w:p w:rsidR="00F158CA" w:rsidRDefault="00F158CA" w:rsidP="00F158CA">
      <w:pPr>
        <w:pStyle w:val="Antrats"/>
        <w:jc w:val="center"/>
        <w:rPr>
          <w:b/>
          <w:sz w:val="28"/>
          <w:szCs w:val="28"/>
        </w:rPr>
      </w:pPr>
      <w:r w:rsidRPr="00B8626F">
        <w:rPr>
          <w:b/>
          <w:sz w:val="28"/>
          <w:szCs w:val="28"/>
        </w:rPr>
        <w:t>KAIŠIADORIŲ RAJONO SAVIVALDYBĖS TARYBA</w:t>
      </w:r>
    </w:p>
    <w:p w:rsidR="00F158CA" w:rsidRPr="00B8626F" w:rsidRDefault="00F158CA" w:rsidP="00F158CA">
      <w:pPr>
        <w:pStyle w:val="Antrats"/>
        <w:jc w:val="center"/>
        <w:rPr>
          <w:b/>
          <w:sz w:val="28"/>
          <w:szCs w:val="28"/>
        </w:rPr>
      </w:pPr>
    </w:p>
    <w:p w:rsidR="00B71680" w:rsidRDefault="00F158CA" w:rsidP="00F158CA">
      <w:pPr>
        <w:jc w:val="center"/>
        <w:rPr>
          <w:b/>
          <w:szCs w:val="24"/>
        </w:rPr>
      </w:pPr>
      <w:r w:rsidRPr="00F158CA">
        <w:rPr>
          <w:b/>
          <w:szCs w:val="24"/>
        </w:rPr>
        <w:t>SPRENDIMAS</w:t>
      </w:r>
    </w:p>
    <w:p w:rsidR="00A817B3" w:rsidRPr="00723956" w:rsidRDefault="00031D30" w:rsidP="00F158CA">
      <w:pPr>
        <w:jc w:val="center"/>
        <w:rPr>
          <w:b/>
          <w:szCs w:val="24"/>
        </w:rPr>
      </w:pPr>
      <w:r w:rsidRPr="00723956">
        <w:rPr>
          <w:b/>
          <w:szCs w:val="24"/>
        </w:rPr>
        <w:t>DĖL KAIŠIADORIŲ</w:t>
      </w:r>
      <w:r w:rsidR="00723956">
        <w:rPr>
          <w:b/>
          <w:szCs w:val="24"/>
        </w:rPr>
        <w:t xml:space="preserve"> RAJONO SAVIVALDYBĖS TARYBOS 2025 M. SAUSIO 30 </w:t>
      </w:r>
      <w:r w:rsidR="00723956" w:rsidRPr="00723956">
        <w:rPr>
          <w:b/>
          <w:szCs w:val="24"/>
        </w:rPr>
        <w:t xml:space="preserve">D. </w:t>
      </w:r>
      <w:r w:rsidR="00723956">
        <w:rPr>
          <w:b/>
          <w:szCs w:val="24"/>
        </w:rPr>
        <w:t>SPRENDIMO</w:t>
      </w:r>
      <w:r w:rsidRPr="00723956">
        <w:rPr>
          <w:b/>
          <w:szCs w:val="24"/>
        </w:rPr>
        <w:t xml:space="preserve">   NR</w:t>
      </w:r>
      <w:r w:rsidR="00723956">
        <w:rPr>
          <w:b/>
          <w:szCs w:val="24"/>
        </w:rPr>
        <w:t>. V17E-24</w:t>
      </w:r>
      <w:r w:rsidRPr="00723956">
        <w:rPr>
          <w:b/>
          <w:szCs w:val="24"/>
        </w:rPr>
        <w:t xml:space="preserve"> „</w:t>
      </w:r>
      <w:r w:rsidR="00723956">
        <w:rPr>
          <w:b/>
          <w:szCs w:val="24"/>
        </w:rPr>
        <w:t>DĖL DAUGIABUČIŲ GYVENAMŲJŲ NAMŲ TECHNINĖS PRIEŽIŪROS MAKSIMALIŲ TARIFŲ PATVIRTINIMO</w:t>
      </w:r>
      <w:r w:rsidRPr="00723956">
        <w:rPr>
          <w:b/>
          <w:szCs w:val="24"/>
        </w:rPr>
        <w:t>“ PAKEITIMO</w:t>
      </w:r>
    </w:p>
    <w:p w:rsidR="00A817B3" w:rsidRDefault="00A817B3" w:rsidP="00F158CA">
      <w:pPr>
        <w:jc w:val="center"/>
        <w:rPr>
          <w:b/>
          <w:szCs w:val="24"/>
        </w:rPr>
      </w:pPr>
    </w:p>
    <w:p w:rsidR="00A817B3" w:rsidRPr="00A817B3" w:rsidRDefault="00A817B3" w:rsidP="00F158CA">
      <w:pPr>
        <w:jc w:val="center"/>
        <w:rPr>
          <w:szCs w:val="24"/>
        </w:rPr>
      </w:pPr>
      <w:r w:rsidRPr="00A817B3">
        <w:rPr>
          <w:szCs w:val="24"/>
        </w:rPr>
        <w:t>20</w:t>
      </w:r>
      <w:r w:rsidR="00E924A3">
        <w:rPr>
          <w:szCs w:val="24"/>
        </w:rPr>
        <w:t>2</w:t>
      </w:r>
      <w:r w:rsidR="008263C2">
        <w:rPr>
          <w:szCs w:val="24"/>
        </w:rPr>
        <w:t>5</w:t>
      </w:r>
      <w:r w:rsidRPr="00A817B3">
        <w:rPr>
          <w:szCs w:val="24"/>
        </w:rPr>
        <w:t xml:space="preserve"> m. </w:t>
      </w:r>
      <w:r w:rsidR="0022465C">
        <w:rPr>
          <w:szCs w:val="24"/>
        </w:rPr>
        <w:t>lapkričio</w:t>
      </w:r>
      <w:r w:rsidR="00B3066A">
        <w:rPr>
          <w:szCs w:val="24"/>
        </w:rPr>
        <w:t xml:space="preserve"> </w:t>
      </w:r>
      <w:r w:rsidR="0022465C">
        <w:rPr>
          <w:szCs w:val="24"/>
        </w:rPr>
        <w:t>27</w:t>
      </w:r>
      <w:r w:rsidRPr="00A817B3">
        <w:rPr>
          <w:szCs w:val="24"/>
        </w:rPr>
        <w:t>d. Nr. V17-</w:t>
      </w:r>
    </w:p>
    <w:p w:rsidR="00A817B3" w:rsidRDefault="00A817B3" w:rsidP="00F158CA">
      <w:pPr>
        <w:jc w:val="center"/>
        <w:rPr>
          <w:szCs w:val="24"/>
        </w:rPr>
      </w:pPr>
      <w:r w:rsidRPr="00A817B3">
        <w:rPr>
          <w:szCs w:val="24"/>
        </w:rPr>
        <w:t xml:space="preserve">Kaišiadorys </w:t>
      </w:r>
    </w:p>
    <w:p w:rsidR="00A817B3" w:rsidRDefault="00A817B3" w:rsidP="00A112A6">
      <w:pPr>
        <w:spacing w:line="360" w:lineRule="auto"/>
        <w:jc w:val="both"/>
        <w:rPr>
          <w:szCs w:val="24"/>
        </w:rPr>
      </w:pPr>
    </w:p>
    <w:p w:rsidR="00A817B3" w:rsidRDefault="00A817B3" w:rsidP="000843BA">
      <w:pPr>
        <w:widowControl/>
        <w:suppressAutoHyphens w:val="0"/>
        <w:overflowPunct/>
        <w:autoSpaceDE/>
        <w:spacing w:line="360" w:lineRule="auto"/>
        <w:ind w:firstLine="720"/>
        <w:jc w:val="both"/>
        <w:textAlignment w:val="auto"/>
        <w:rPr>
          <w:szCs w:val="24"/>
        </w:rPr>
      </w:pPr>
      <w:r>
        <w:rPr>
          <w:szCs w:val="24"/>
        </w:rPr>
        <w:t>Vadovaudamasi Lietuvos Respublikos vietos savivaldos įstatymo</w:t>
      </w:r>
      <w:r w:rsidR="00CF7EB5">
        <w:t>1</w:t>
      </w:r>
      <w:r w:rsidR="00302E42">
        <w:t>5</w:t>
      </w:r>
      <w:r w:rsidR="00CF7EB5">
        <w:t xml:space="preserve"> straipsnio 2 dalies </w:t>
      </w:r>
      <w:r w:rsidR="007456AA">
        <w:t>29</w:t>
      </w:r>
      <w:r w:rsidR="00CF7EB5">
        <w:t xml:space="preserve"> punktu</w:t>
      </w:r>
      <w:r w:rsidR="00341E42">
        <w:t>,</w:t>
      </w:r>
      <w:r w:rsidR="00B3066A">
        <w:t xml:space="preserve"> </w:t>
      </w:r>
      <w:r>
        <w:rPr>
          <w:szCs w:val="24"/>
        </w:rPr>
        <w:t xml:space="preserve">Kaišiadorių rajono savivaldybės taryba n u s p r e </w:t>
      </w:r>
      <w:r w:rsidR="007A2FD9">
        <w:rPr>
          <w:szCs w:val="24"/>
        </w:rPr>
        <w:t>n d ž i a:</w:t>
      </w:r>
    </w:p>
    <w:p w:rsidR="007A2FD9" w:rsidRDefault="00FD4FD9" w:rsidP="00382304">
      <w:pPr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>1</w:t>
      </w:r>
      <w:r w:rsidR="00972891">
        <w:rPr>
          <w:szCs w:val="24"/>
        </w:rPr>
        <w:t xml:space="preserve">. </w:t>
      </w:r>
      <w:r>
        <w:rPr>
          <w:szCs w:val="24"/>
        </w:rPr>
        <w:t>Pakeisti</w:t>
      </w:r>
      <w:r w:rsidR="00B3066A">
        <w:rPr>
          <w:szCs w:val="24"/>
        </w:rPr>
        <w:t xml:space="preserve"> </w:t>
      </w:r>
      <w:r w:rsidR="00031D30">
        <w:rPr>
          <w:szCs w:val="24"/>
        </w:rPr>
        <w:t>Daugiabučių gyvenamųjų namų techninės priežiūros maksimalius tarifus, patvirtintus</w:t>
      </w:r>
      <w:bookmarkStart w:id="0" w:name="_Hlk213919355"/>
      <w:r w:rsidR="00B3066A">
        <w:rPr>
          <w:szCs w:val="24"/>
        </w:rPr>
        <w:t xml:space="preserve"> </w:t>
      </w:r>
      <w:r w:rsidR="00544E97">
        <w:rPr>
          <w:szCs w:val="24"/>
        </w:rPr>
        <w:t>K</w:t>
      </w:r>
      <w:r w:rsidR="007A2FD9">
        <w:rPr>
          <w:szCs w:val="24"/>
        </w:rPr>
        <w:t>aišiadorių rajono savivaldybės tarybos 20</w:t>
      </w:r>
      <w:r w:rsidR="0022465C">
        <w:rPr>
          <w:szCs w:val="24"/>
        </w:rPr>
        <w:t>25</w:t>
      </w:r>
      <w:r w:rsidR="007A2FD9">
        <w:rPr>
          <w:szCs w:val="24"/>
        </w:rPr>
        <w:t xml:space="preserve"> m. </w:t>
      </w:r>
      <w:r w:rsidR="0022465C">
        <w:rPr>
          <w:szCs w:val="24"/>
        </w:rPr>
        <w:t>sausio30</w:t>
      </w:r>
      <w:r w:rsidR="007A2FD9">
        <w:rPr>
          <w:szCs w:val="24"/>
        </w:rPr>
        <w:t xml:space="preserve"> d. </w:t>
      </w:r>
      <w:r w:rsidR="007A2FD9" w:rsidRPr="00E915BE">
        <w:rPr>
          <w:szCs w:val="24"/>
        </w:rPr>
        <w:t>sprendim</w:t>
      </w:r>
      <w:r w:rsidR="00031D30">
        <w:rPr>
          <w:szCs w:val="24"/>
        </w:rPr>
        <w:t>u</w:t>
      </w:r>
      <w:r w:rsidR="007A2FD9">
        <w:rPr>
          <w:szCs w:val="24"/>
        </w:rPr>
        <w:t xml:space="preserve"> Nr. </w:t>
      </w:r>
      <w:bookmarkStart w:id="1" w:name="n_0"/>
      <w:r w:rsidR="00544E97" w:rsidRPr="00382304">
        <w:rPr>
          <w:szCs w:val="24"/>
        </w:rPr>
        <w:t>V17</w:t>
      </w:r>
      <w:r w:rsidR="0022465C">
        <w:rPr>
          <w:szCs w:val="24"/>
        </w:rPr>
        <w:t>E</w:t>
      </w:r>
      <w:r w:rsidR="00544E97" w:rsidRPr="00382304">
        <w:rPr>
          <w:szCs w:val="24"/>
        </w:rPr>
        <w:t>-</w:t>
      </w:r>
      <w:bookmarkEnd w:id="1"/>
      <w:r w:rsidR="0022465C">
        <w:rPr>
          <w:szCs w:val="24"/>
        </w:rPr>
        <w:t>2</w:t>
      </w:r>
      <w:r w:rsidR="00603873">
        <w:rPr>
          <w:szCs w:val="24"/>
        </w:rPr>
        <w:t>4</w:t>
      </w:r>
      <w:bookmarkEnd w:id="0"/>
      <w:r w:rsidR="00B3066A">
        <w:rPr>
          <w:szCs w:val="24"/>
        </w:rPr>
        <w:t xml:space="preserve"> </w:t>
      </w:r>
      <w:r w:rsidR="00544E97">
        <w:rPr>
          <w:szCs w:val="24"/>
        </w:rPr>
        <w:t>„</w:t>
      </w:r>
      <w:r w:rsidR="00C5691D">
        <w:rPr>
          <w:szCs w:val="24"/>
        </w:rPr>
        <w:t xml:space="preserve">Dėl </w:t>
      </w:r>
      <w:r w:rsidR="005B2653">
        <w:rPr>
          <w:szCs w:val="24"/>
        </w:rPr>
        <w:t>d</w:t>
      </w:r>
      <w:r w:rsidR="00C5691D">
        <w:rPr>
          <w:szCs w:val="24"/>
        </w:rPr>
        <w:t>augiabučių gyvenamųjų namų techninės priežiūros maksimalių tarifų patvirtinimo</w:t>
      </w:r>
      <w:r w:rsidR="00544E97">
        <w:rPr>
          <w:szCs w:val="24"/>
        </w:rPr>
        <w:t>“</w:t>
      </w:r>
      <w:r w:rsidR="00031D30">
        <w:rPr>
          <w:szCs w:val="24"/>
        </w:rPr>
        <w:t xml:space="preserve">, </w:t>
      </w:r>
      <w:r>
        <w:rPr>
          <w:szCs w:val="24"/>
        </w:rPr>
        <w:t xml:space="preserve">ir </w:t>
      </w:r>
      <w:r w:rsidR="00031D30">
        <w:rPr>
          <w:szCs w:val="24"/>
        </w:rPr>
        <w:t xml:space="preserve">juos </w:t>
      </w:r>
      <w:r>
        <w:rPr>
          <w:szCs w:val="24"/>
        </w:rPr>
        <w:t>išdėstyti  nauja redakcija (pridedama).</w:t>
      </w:r>
    </w:p>
    <w:p w:rsidR="00544E97" w:rsidRDefault="00FD4FD9" w:rsidP="00382304">
      <w:pPr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>2</w:t>
      </w:r>
      <w:r w:rsidR="00972891">
        <w:rPr>
          <w:szCs w:val="24"/>
        </w:rPr>
        <w:t xml:space="preserve">. </w:t>
      </w:r>
      <w:r w:rsidR="00031D30">
        <w:rPr>
          <w:szCs w:val="24"/>
        </w:rPr>
        <w:t>Nustatyti, kad š</w:t>
      </w:r>
      <w:r w:rsidR="00544E97">
        <w:rPr>
          <w:szCs w:val="24"/>
        </w:rPr>
        <w:t xml:space="preserve">is sprendimas įsigalioja </w:t>
      </w:r>
      <w:r w:rsidR="00E924A3">
        <w:rPr>
          <w:szCs w:val="24"/>
        </w:rPr>
        <w:t>202</w:t>
      </w:r>
      <w:r w:rsidR="0022465C">
        <w:rPr>
          <w:szCs w:val="24"/>
        </w:rPr>
        <w:t>6</w:t>
      </w:r>
      <w:r w:rsidR="00E924A3">
        <w:rPr>
          <w:szCs w:val="24"/>
        </w:rPr>
        <w:t xml:space="preserve"> m. </w:t>
      </w:r>
      <w:r w:rsidR="0022465C">
        <w:rPr>
          <w:szCs w:val="24"/>
        </w:rPr>
        <w:t>sausio</w:t>
      </w:r>
      <w:r w:rsidR="00E924A3">
        <w:rPr>
          <w:szCs w:val="24"/>
        </w:rPr>
        <w:t xml:space="preserve"> 1</w:t>
      </w:r>
      <w:r w:rsidR="00544E97">
        <w:rPr>
          <w:szCs w:val="24"/>
        </w:rPr>
        <w:t xml:space="preserve"> d.</w:t>
      </w:r>
    </w:p>
    <w:p w:rsidR="000C49E2" w:rsidRPr="00F90D7B" w:rsidRDefault="000C49E2" w:rsidP="000C49E2">
      <w:pPr>
        <w:pStyle w:val="Pagrindinistekstas"/>
        <w:rPr>
          <w:sz w:val="22"/>
          <w:szCs w:val="22"/>
        </w:rPr>
      </w:pPr>
    </w:p>
    <w:p w:rsidR="00421B48" w:rsidRDefault="000C49E2" w:rsidP="000C49E2">
      <w:pPr>
        <w:pStyle w:val="Pagrindinistekstas"/>
      </w:pPr>
      <w:r w:rsidRPr="004F2B1C">
        <w:t xml:space="preserve">Savivaldybės meras </w:t>
      </w:r>
      <w:r w:rsidRPr="004F2B1C">
        <w:tab/>
      </w:r>
    </w:p>
    <w:p w:rsidR="001A2831" w:rsidRDefault="001A2831" w:rsidP="00FF1ED6">
      <w:pPr>
        <w:pStyle w:val="Pagrindinistekstas"/>
        <w:spacing w:line="360" w:lineRule="auto"/>
        <w:rPr>
          <w:szCs w:val="24"/>
        </w:rPr>
      </w:pPr>
    </w:p>
    <w:p w:rsidR="00FF1ED6" w:rsidRDefault="00FF1ED6" w:rsidP="001A2831">
      <w:pPr>
        <w:pStyle w:val="Pagrindinistekstas"/>
        <w:spacing w:after="0"/>
        <w:rPr>
          <w:b/>
          <w:szCs w:val="24"/>
        </w:rPr>
      </w:pPr>
      <w:r w:rsidRPr="00592AD6">
        <w:rPr>
          <w:szCs w:val="24"/>
        </w:rPr>
        <w:t>Sprendimo projektą teikia</w:t>
      </w:r>
    </w:p>
    <w:p w:rsidR="00FF1ED6" w:rsidRDefault="00FF1ED6" w:rsidP="001A2831">
      <w:pPr>
        <w:pStyle w:val="Pagrindinistekstas"/>
        <w:spacing w:after="0"/>
        <w:rPr>
          <w:b/>
          <w:szCs w:val="24"/>
        </w:rPr>
      </w:pPr>
      <w:r>
        <w:rPr>
          <w:szCs w:val="24"/>
        </w:rPr>
        <w:t xml:space="preserve">Savivaldybės </w:t>
      </w:r>
      <w:r w:rsidR="008263C2" w:rsidRPr="004F2B1C">
        <w:t>meras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8263C2">
        <w:rPr>
          <w:szCs w:val="24"/>
        </w:rPr>
        <w:tab/>
      </w:r>
      <w:r w:rsidR="008263C2">
        <w:rPr>
          <w:szCs w:val="24"/>
        </w:rPr>
        <w:tab/>
        <w:t>Šarūnas Čėsna</w:t>
      </w:r>
    </w:p>
    <w:p w:rsidR="001A2831" w:rsidRDefault="001A2831" w:rsidP="00FF1ED6">
      <w:pPr>
        <w:pStyle w:val="Pagrindinistekstas"/>
        <w:spacing w:after="0"/>
        <w:rPr>
          <w:szCs w:val="24"/>
        </w:rPr>
      </w:pPr>
    </w:p>
    <w:p w:rsidR="00FF1ED6" w:rsidRDefault="00FF1ED6" w:rsidP="00FF1ED6">
      <w:pPr>
        <w:pStyle w:val="Pagrindinistekstas"/>
        <w:spacing w:after="0"/>
        <w:rPr>
          <w:b/>
          <w:szCs w:val="24"/>
        </w:rPr>
      </w:pPr>
      <w:r w:rsidRPr="00592AD6">
        <w:rPr>
          <w:szCs w:val="24"/>
        </w:rPr>
        <w:t>Rengėja</w:t>
      </w:r>
    </w:p>
    <w:p w:rsidR="00FF1ED6" w:rsidRDefault="00FF1ED6" w:rsidP="00FF1ED6">
      <w:pPr>
        <w:pStyle w:val="Pagrindinistekstas"/>
        <w:spacing w:after="0"/>
        <w:rPr>
          <w:b/>
          <w:szCs w:val="24"/>
        </w:rPr>
      </w:pPr>
      <w:r>
        <w:rPr>
          <w:szCs w:val="24"/>
        </w:rPr>
        <w:t>Edita Leonavičienė</w:t>
      </w:r>
    </w:p>
    <w:p w:rsidR="00624F5D" w:rsidRDefault="00624F5D" w:rsidP="00FF1ED6">
      <w:pPr>
        <w:pStyle w:val="Pagrindinistekstas"/>
        <w:spacing w:after="0"/>
        <w:rPr>
          <w:b/>
          <w:szCs w:val="24"/>
        </w:rPr>
      </w:pPr>
    </w:p>
    <w:p w:rsidR="001A2831" w:rsidRDefault="001A2831" w:rsidP="00FF1ED6">
      <w:pPr>
        <w:pStyle w:val="Pagrindinistekstas"/>
        <w:spacing w:after="0"/>
        <w:rPr>
          <w:b/>
          <w:szCs w:val="24"/>
        </w:rPr>
      </w:pPr>
    </w:p>
    <w:p w:rsidR="001A2831" w:rsidRDefault="001A2831" w:rsidP="00FF1ED6">
      <w:pPr>
        <w:pStyle w:val="Pagrindinistekstas"/>
        <w:spacing w:after="0"/>
        <w:rPr>
          <w:b/>
          <w:szCs w:val="24"/>
        </w:rPr>
      </w:pPr>
    </w:p>
    <w:p w:rsidR="00FF1ED6" w:rsidRDefault="00FF1ED6" w:rsidP="00FF1ED6">
      <w:pPr>
        <w:pStyle w:val="Pagrindinistekstas"/>
        <w:rPr>
          <w:b/>
          <w:szCs w:val="24"/>
        </w:rPr>
      </w:pPr>
      <w:r>
        <w:rPr>
          <w:szCs w:val="24"/>
        </w:rPr>
        <w:t xml:space="preserve">Lina Juodienė     Asta Masaitienė    </w:t>
      </w:r>
      <w:r w:rsidR="008263C2">
        <w:rPr>
          <w:szCs w:val="24"/>
        </w:rPr>
        <w:t>Karolis Petkevičius</w:t>
      </w:r>
      <w:r w:rsidR="00B3066A">
        <w:rPr>
          <w:szCs w:val="24"/>
        </w:rPr>
        <w:t xml:space="preserve">  </w:t>
      </w:r>
      <w:proofErr w:type="spellStart"/>
      <w:r w:rsidRPr="00592AD6">
        <w:rPr>
          <w:szCs w:val="24"/>
        </w:rPr>
        <w:t>Ligita</w:t>
      </w:r>
      <w:proofErr w:type="spellEnd"/>
      <w:r w:rsidRPr="00592AD6">
        <w:rPr>
          <w:szCs w:val="24"/>
        </w:rPr>
        <w:t xml:space="preserve">  </w:t>
      </w:r>
      <w:proofErr w:type="spellStart"/>
      <w:r w:rsidRPr="00592AD6">
        <w:rPr>
          <w:szCs w:val="24"/>
        </w:rPr>
        <w:t>Pūrienė</w:t>
      </w:r>
      <w:proofErr w:type="spellEnd"/>
      <w:r w:rsidRPr="00592AD6">
        <w:rPr>
          <w:szCs w:val="24"/>
        </w:rPr>
        <w:t xml:space="preserve">    </w:t>
      </w:r>
      <w:r w:rsidR="008263C2">
        <w:rPr>
          <w:szCs w:val="24"/>
        </w:rPr>
        <w:t>Tomas Vaicekauskas</w:t>
      </w:r>
    </w:p>
    <w:p w:rsidR="002C603A" w:rsidRPr="008263C2" w:rsidRDefault="002C603A" w:rsidP="00FF1ED6">
      <w:pPr>
        <w:pStyle w:val="Pagrindinistekstas"/>
        <w:spacing w:line="360" w:lineRule="auto"/>
        <w:rPr>
          <w:b/>
          <w:szCs w:val="24"/>
        </w:rPr>
      </w:pPr>
      <w:r>
        <w:rPr>
          <w:szCs w:val="24"/>
        </w:rPr>
        <w:br w:type="page"/>
      </w:r>
    </w:p>
    <w:p w:rsidR="00F05A82" w:rsidRDefault="00F05A82" w:rsidP="00421B48">
      <w:pPr>
        <w:ind w:left="5760"/>
        <w:sectPr w:rsidR="00F05A82" w:rsidSect="00FF1ED6">
          <w:pgSz w:w="11906" w:h="16838"/>
          <w:pgMar w:top="1079" w:right="567" w:bottom="284" w:left="1701" w:header="567" w:footer="567" w:gutter="0"/>
          <w:cols w:space="1296"/>
          <w:docGrid w:linePitch="360"/>
        </w:sectPr>
      </w:pPr>
    </w:p>
    <w:p w:rsidR="006745CF" w:rsidRDefault="006745CF" w:rsidP="00CB3642">
      <w:pPr>
        <w:ind w:left="10632"/>
      </w:pPr>
      <w:r>
        <w:lastRenderedPageBreak/>
        <w:t>PATVIRTINTA</w:t>
      </w:r>
    </w:p>
    <w:p w:rsidR="00031D30" w:rsidRDefault="00031D30" w:rsidP="00CB3642">
      <w:pPr>
        <w:ind w:left="10632"/>
      </w:pPr>
      <w:r>
        <w:rPr>
          <w:szCs w:val="24"/>
        </w:rPr>
        <w:t xml:space="preserve">Kaišiadorių rajono savivaldybės tarybos 2025 m. sausio 30 d. </w:t>
      </w:r>
      <w:r w:rsidRPr="00E915BE">
        <w:rPr>
          <w:szCs w:val="24"/>
        </w:rPr>
        <w:t>sprendim</w:t>
      </w:r>
      <w:r>
        <w:rPr>
          <w:szCs w:val="24"/>
        </w:rPr>
        <w:t xml:space="preserve">u Nr. </w:t>
      </w:r>
      <w:r w:rsidRPr="00382304">
        <w:rPr>
          <w:szCs w:val="24"/>
        </w:rPr>
        <w:t>V17</w:t>
      </w:r>
      <w:r>
        <w:rPr>
          <w:szCs w:val="24"/>
        </w:rPr>
        <w:t>E</w:t>
      </w:r>
      <w:r w:rsidRPr="00382304">
        <w:rPr>
          <w:szCs w:val="24"/>
        </w:rPr>
        <w:t>-</w:t>
      </w:r>
      <w:r>
        <w:rPr>
          <w:szCs w:val="24"/>
        </w:rPr>
        <w:t>24</w:t>
      </w:r>
    </w:p>
    <w:p w:rsidR="00421B48" w:rsidRDefault="00031D30" w:rsidP="00CB3642">
      <w:pPr>
        <w:ind w:left="10632"/>
      </w:pPr>
      <w:r>
        <w:t>(</w:t>
      </w:r>
      <w:r w:rsidR="00421B48">
        <w:t>Kaišiadorių rajono savivaldybės tarybos</w:t>
      </w:r>
    </w:p>
    <w:p w:rsidR="00421B48" w:rsidRDefault="00421B48" w:rsidP="00CB3642">
      <w:pPr>
        <w:ind w:left="10632"/>
      </w:pPr>
      <w:r>
        <w:t>202</w:t>
      </w:r>
      <w:r w:rsidR="008263C2">
        <w:t>5</w:t>
      </w:r>
      <w:r>
        <w:t xml:space="preserve"> m. </w:t>
      </w:r>
      <w:r w:rsidR="0022465C">
        <w:t>lapkričio27</w:t>
      </w:r>
      <w:r>
        <w:t xml:space="preserve"> d. sprendim</w:t>
      </w:r>
      <w:r w:rsidR="00031D30">
        <w:t>o</w:t>
      </w:r>
    </w:p>
    <w:p w:rsidR="00421B48" w:rsidRDefault="00421B48" w:rsidP="00CB3642">
      <w:pPr>
        <w:ind w:left="10632"/>
      </w:pPr>
      <w:r>
        <w:t>Nr. V17</w:t>
      </w:r>
      <w:r w:rsidR="006745CF">
        <w:t>E</w:t>
      </w:r>
      <w:r>
        <w:t xml:space="preserve">- </w:t>
      </w:r>
      <w:r w:rsidR="00031D30">
        <w:t xml:space="preserve">   redakcija)</w:t>
      </w:r>
    </w:p>
    <w:p w:rsidR="00421B48" w:rsidRDefault="00421B48" w:rsidP="00421B48">
      <w:pPr>
        <w:ind w:left="5760"/>
      </w:pPr>
    </w:p>
    <w:p w:rsidR="00E146C7" w:rsidRDefault="00A7730A" w:rsidP="00E146C7">
      <w:pPr>
        <w:ind w:left="2127" w:hanging="2127"/>
        <w:jc w:val="center"/>
        <w:rPr>
          <w:b/>
          <w:szCs w:val="24"/>
        </w:rPr>
      </w:pPr>
      <w:r>
        <w:rPr>
          <w:b/>
          <w:szCs w:val="24"/>
        </w:rPr>
        <w:t>DAUGIABUČIŲ GYVENAMŲJŲ NAMŲ TECHNINĖS PRIEŽIŪROS MAKSIMAL</w:t>
      </w:r>
      <w:r w:rsidR="00031D30">
        <w:rPr>
          <w:b/>
          <w:szCs w:val="24"/>
        </w:rPr>
        <w:t>ŪS</w:t>
      </w:r>
      <w:r>
        <w:rPr>
          <w:b/>
          <w:szCs w:val="24"/>
        </w:rPr>
        <w:t xml:space="preserve"> TARIF</w:t>
      </w:r>
      <w:r w:rsidR="00031D30">
        <w:rPr>
          <w:b/>
          <w:szCs w:val="24"/>
        </w:rPr>
        <w:t>AI</w:t>
      </w:r>
    </w:p>
    <w:p w:rsidR="00A7730A" w:rsidRDefault="00A7730A" w:rsidP="00E146C7">
      <w:pPr>
        <w:ind w:left="2127" w:hanging="2127"/>
        <w:jc w:val="center"/>
        <w:rPr>
          <w:b/>
          <w:szCs w:val="24"/>
        </w:rPr>
      </w:pPr>
    </w:p>
    <w:tbl>
      <w:tblPr>
        <w:tblStyle w:val="Lentelstinklelis"/>
        <w:tblW w:w="4942" w:type="pct"/>
        <w:tblLook w:val="04A0"/>
      </w:tblPr>
      <w:tblGrid>
        <w:gridCol w:w="556"/>
        <w:gridCol w:w="2419"/>
        <w:gridCol w:w="977"/>
        <w:gridCol w:w="877"/>
        <w:gridCol w:w="877"/>
        <w:gridCol w:w="880"/>
        <w:gridCol w:w="877"/>
        <w:gridCol w:w="1009"/>
        <w:gridCol w:w="933"/>
        <w:gridCol w:w="877"/>
        <w:gridCol w:w="877"/>
        <w:gridCol w:w="880"/>
        <w:gridCol w:w="877"/>
        <w:gridCol w:w="877"/>
        <w:gridCol w:w="876"/>
      </w:tblGrid>
      <w:tr w:rsidR="009C0150" w:rsidRPr="00BC1EAC" w:rsidTr="009C0150">
        <w:trPr>
          <w:trHeight w:val="472"/>
        </w:trPr>
        <w:tc>
          <w:tcPr>
            <w:tcW w:w="190" w:type="pct"/>
            <w:vMerge w:val="restart"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  <w:r w:rsidRPr="00BC1EAC">
              <w:rPr>
                <w:szCs w:val="24"/>
              </w:rPr>
              <w:t xml:space="preserve">Eil. </w:t>
            </w:r>
            <w:r w:rsidR="006745CF">
              <w:rPr>
                <w:szCs w:val="24"/>
              </w:rPr>
              <w:t>n</w:t>
            </w:r>
            <w:r w:rsidRPr="00BC1EAC">
              <w:rPr>
                <w:szCs w:val="24"/>
              </w:rPr>
              <w:t>r.</w:t>
            </w:r>
          </w:p>
        </w:tc>
        <w:tc>
          <w:tcPr>
            <w:tcW w:w="825" w:type="pct"/>
            <w:vMerge w:val="restart"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Namo ypatumai</w:t>
            </w:r>
          </w:p>
        </w:tc>
        <w:tc>
          <w:tcPr>
            <w:tcW w:w="333" w:type="pct"/>
            <w:vMerge w:val="restart"/>
            <w:textDirection w:val="btLr"/>
            <w:vAlign w:val="center"/>
          </w:tcPr>
          <w:p w:rsidR="00BC1EAC" w:rsidRPr="00BC1EAC" w:rsidRDefault="00BC1EAC" w:rsidP="00BC1EAC">
            <w:pPr>
              <w:ind w:left="113" w:right="113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</w:rPr>
              <w:t xml:space="preserve">Koeficientas </w:t>
            </w:r>
            <w:proofErr w:type="spellStart"/>
            <w:r>
              <w:rPr>
                <w:szCs w:val="24"/>
              </w:rPr>
              <w:t>K</w:t>
            </w:r>
            <w:r>
              <w:rPr>
                <w:szCs w:val="24"/>
                <w:vertAlign w:val="subscript"/>
              </w:rPr>
              <w:t>y</w:t>
            </w:r>
            <w:proofErr w:type="spellEnd"/>
          </w:p>
        </w:tc>
        <w:tc>
          <w:tcPr>
            <w:tcW w:w="3653" w:type="pct"/>
            <w:gridSpan w:val="12"/>
            <w:vAlign w:val="center"/>
          </w:tcPr>
          <w:p w:rsidR="00BC1EAC" w:rsidRPr="00BC1EAC" w:rsidRDefault="00BC1EAC" w:rsidP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Namo bendras naudingas plotas m²/namo dydžio </w:t>
            </w:r>
            <w:proofErr w:type="spellStart"/>
            <w:r w:rsidRPr="00BC1EAC">
              <w:rPr>
                <w:color w:val="000000"/>
                <w:szCs w:val="24"/>
              </w:rPr>
              <w:t>K</w:t>
            </w:r>
            <w:r w:rsidRPr="00BC1EAC">
              <w:rPr>
                <w:color w:val="000000"/>
                <w:szCs w:val="24"/>
                <w:vertAlign w:val="subscript"/>
              </w:rPr>
              <w:t>d</w:t>
            </w:r>
            <w:proofErr w:type="spellEnd"/>
          </w:p>
        </w:tc>
      </w:tr>
      <w:tr w:rsidR="009C0150" w:rsidRPr="00BC1EAC" w:rsidTr="009C0150">
        <w:trPr>
          <w:trHeight w:val="422"/>
        </w:trPr>
        <w:tc>
          <w:tcPr>
            <w:tcW w:w="190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825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333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898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Iki 1000</w:t>
            </w:r>
          </w:p>
        </w:tc>
        <w:tc>
          <w:tcPr>
            <w:tcW w:w="961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1001</w:t>
            </w:r>
            <w:r w:rsidR="006745CF">
              <w:rPr>
                <w:color w:val="000000"/>
                <w:szCs w:val="24"/>
              </w:rPr>
              <w:t>–</w:t>
            </w:r>
            <w:r w:rsidRPr="00BC1EAC">
              <w:rPr>
                <w:color w:val="000000"/>
                <w:szCs w:val="24"/>
              </w:rPr>
              <w:t>200</w:t>
            </w:r>
            <w:r w:rsidR="00C5691D">
              <w:rPr>
                <w:color w:val="000000"/>
                <w:szCs w:val="24"/>
              </w:rPr>
              <w:t>0</w:t>
            </w:r>
          </w:p>
        </w:tc>
        <w:tc>
          <w:tcPr>
            <w:tcW w:w="898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2001</w:t>
            </w:r>
            <w:r w:rsidR="006745CF">
              <w:rPr>
                <w:color w:val="000000"/>
                <w:szCs w:val="24"/>
              </w:rPr>
              <w:t>–</w:t>
            </w:r>
            <w:r w:rsidRPr="00BC1EAC">
              <w:rPr>
                <w:color w:val="000000"/>
                <w:szCs w:val="24"/>
              </w:rPr>
              <w:t>500</w:t>
            </w:r>
            <w:r w:rsidR="00C5691D">
              <w:rPr>
                <w:color w:val="000000"/>
                <w:szCs w:val="24"/>
              </w:rPr>
              <w:t>0</w:t>
            </w:r>
          </w:p>
        </w:tc>
        <w:tc>
          <w:tcPr>
            <w:tcW w:w="896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Daugiau kaip 5000</w:t>
            </w:r>
          </w:p>
        </w:tc>
      </w:tr>
      <w:tr w:rsidR="009C0150" w:rsidRPr="00BC1EAC" w:rsidTr="009C0150">
        <w:trPr>
          <w:trHeight w:val="414"/>
        </w:trPr>
        <w:tc>
          <w:tcPr>
            <w:tcW w:w="190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825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333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898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0,85</w:t>
            </w:r>
          </w:p>
        </w:tc>
        <w:tc>
          <w:tcPr>
            <w:tcW w:w="961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1</w:t>
            </w:r>
          </w:p>
        </w:tc>
        <w:tc>
          <w:tcPr>
            <w:tcW w:w="898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1,15</w:t>
            </w:r>
          </w:p>
        </w:tc>
        <w:tc>
          <w:tcPr>
            <w:tcW w:w="896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1,2</w:t>
            </w:r>
          </w:p>
        </w:tc>
      </w:tr>
      <w:tr w:rsidR="009C0150" w:rsidRPr="00BC1EAC" w:rsidTr="009C0150">
        <w:trPr>
          <w:cantSplit/>
          <w:trHeight w:val="1556"/>
        </w:trPr>
        <w:tc>
          <w:tcPr>
            <w:tcW w:w="190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825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333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/m²/ mėn</w:t>
            </w:r>
            <w:r>
              <w:rPr>
                <w:color w:val="000000"/>
                <w:szCs w:val="24"/>
              </w:rPr>
              <w:t>.</w:t>
            </w:r>
            <w:r w:rsidRPr="00BC1EAC">
              <w:rPr>
                <w:color w:val="000000"/>
                <w:szCs w:val="24"/>
              </w:rPr>
              <w:t xml:space="preserve"> be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PVM</w:t>
            </w:r>
          </w:p>
        </w:tc>
        <w:tc>
          <w:tcPr>
            <w:tcW w:w="300" w:type="pct"/>
            <w:textDirection w:val="btLr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 mėn</w:t>
            </w:r>
            <w:r>
              <w:rPr>
                <w:color w:val="000000"/>
                <w:szCs w:val="24"/>
              </w:rPr>
              <w:t xml:space="preserve">. </w:t>
            </w:r>
            <w:r w:rsidRPr="00BC1EAC">
              <w:rPr>
                <w:color w:val="000000"/>
                <w:szCs w:val="24"/>
              </w:rPr>
              <w:t>su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/m²/ mėn</w:t>
            </w:r>
            <w:r>
              <w:rPr>
                <w:color w:val="000000"/>
                <w:szCs w:val="24"/>
              </w:rPr>
              <w:t>.</w:t>
            </w:r>
            <w:r w:rsidRPr="00BC1EAC">
              <w:rPr>
                <w:color w:val="000000"/>
                <w:szCs w:val="24"/>
              </w:rPr>
              <w:t xml:space="preserve"> be PVM</w:t>
            </w:r>
          </w:p>
        </w:tc>
        <w:tc>
          <w:tcPr>
            <w:tcW w:w="344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PVM</w:t>
            </w:r>
          </w:p>
        </w:tc>
        <w:tc>
          <w:tcPr>
            <w:tcW w:w="318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 mėn</w:t>
            </w:r>
            <w:r>
              <w:rPr>
                <w:color w:val="000000"/>
                <w:szCs w:val="24"/>
              </w:rPr>
              <w:t xml:space="preserve">. </w:t>
            </w:r>
            <w:r w:rsidRPr="00BC1EAC">
              <w:rPr>
                <w:color w:val="000000"/>
                <w:szCs w:val="24"/>
              </w:rPr>
              <w:t>su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/m²/ mėn</w:t>
            </w:r>
            <w:r>
              <w:rPr>
                <w:color w:val="000000"/>
                <w:szCs w:val="24"/>
              </w:rPr>
              <w:t>.</w:t>
            </w:r>
            <w:r w:rsidRPr="00BC1EAC">
              <w:rPr>
                <w:color w:val="000000"/>
                <w:szCs w:val="24"/>
              </w:rPr>
              <w:t xml:space="preserve"> be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PVM</w:t>
            </w:r>
          </w:p>
        </w:tc>
        <w:tc>
          <w:tcPr>
            <w:tcW w:w="300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 mėn</w:t>
            </w:r>
            <w:r>
              <w:rPr>
                <w:color w:val="000000"/>
                <w:szCs w:val="24"/>
              </w:rPr>
              <w:t xml:space="preserve">. </w:t>
            </w:r>
            <w:r w:rsidRPr="00BC1EAC">
              <w:rPr>
                <w:color w:val="000000"/>
                <w:szCs w:val="24"/>
              </w:rPr>
              <w:t>su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/m²/ mėn</w:t>
            </w:r>
            <w:r>
              <w:rPr>
                <w:color w:val="000000"/>
                <w:szCs w:val="24"/>
              </w:rPr>
              <w:t>.</w:t>
            </w:r>
            <w:r w:rsidRPr="00BC1EAC">
              <w:rPr>
                <w:color w:val="000000"/>
                <w:szCs w:val="24"/>
              </w:rPr>
              <w:t xml:space="preserve"> be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 mėn</w:t>
            </w:r>
            <w:r>
              <w:rPr>
                <w:color w:val="000000"/>
                <w:szCs w:val="24"/>
              </w:rPr>
              <w:t xml:space="preserve">. </w:t>
            </w:r>
            <w:r w:rsidRPr="00BC1EAC">
              <w:rPr>
                <w:color w:val="000000"/>
                <w:szCs w:val="24"/>
              </w:rPr>
              <w:t>su PVM</w:t>
            </w:r>
          </w:p>
        </w:tc>
      </w:tr>
      <w:tr w:rsidR="009C0150" w:rsidRPr="00BC1EAC" w:rsidTr="009C0150">
        <w:tc>
          <w:tcPr>
            <w:tcW w:w="190" w:type="pct"/>
            <w:vAlign w:val="center"/>
          </w:tcPr>
          <w:p w:rsidR="00917B92" w:rsidRPr="00BC1EAC" w:rsidRDefault="00917B9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25" w:type="pct"/>
            <w:vAlign w:val="center"/>
          </w:tcPr>
          <w:p w:rsidR="00917B92" w:rsidRPr="00BC1EAC" w:rsidRDefault="00917B9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neįrengta bendroji geriamojo vandens tiekimo inžinerinė sistema</w:t>
            </w:r>
          </w:p>
        </w:tc>
        <w:tc>
          <w:tcPr>
            <w:tcW w:w="333" w:type="pct"/>
            <w:vAlign w:val="center"/>
          </w:tcPr>
          <w:p w:rsidR="00917B92" w:rsidRPr="00F05A82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0,97</w:t>
            </w:r>
          </w:p>
        </w:tc>
        <w:tc>
          <w:tcPr>
            <w:tcW w:w="299" w:type="pct"/>
            <w:vAlign w:val="center"/>
          </w:tcPr>
          <w:p w:rsidR="00917B92" w:rsidRPr="00FC6A21" w:rsidRDefault="008263C2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33</w:t>
            </w:r>
          </w:p>
        </w:tc>
        <w:tc>
          <w:tcPr>
            <w:tcW w:w="299" w:type="pct"/>
            <w:vAlign w:val="center"/>
          </w:tcPr>
          <w:p w:rsidR="00917B92" w:rsidRPr="00FC6A21" w:rsidRDefault="008263C2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</w:t>
            </w:r>
            <w:r w:rsidR="003F2A9B">
              <w:rPr>
                <w:color w:val="000000"/>
                <w:szCs w:val="24"/>
                <w:lang w:eastAsia="lt-LT"/>
              </w:rPr>
              <w:t>69</w:t>
            </w:r>
          </w:p>
        </w:tc>
        <w:tc>
          <w:tcPr>
            <w:tcW w:w="300" w:type="pct"/>
            <w:vAlign w:val="center"/>
          </w:tcPr>
          <w:p w:rsidR="00917B92" w:rsidRPr="00FC6A21" w:rsidRDefault="008263C2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399</w:t>
            </w:r>
          </w:p>
        </w:tc>
        <w:tc>
          <w:tcPr>
            <w:tcW w:w="299" w:type="pct"/>
            <w:vAlign w:val="center"/>
          </w:tcPr>
          <w:p w:rsidR="00917B92" w:rsidRPr="00FC6A21" w:rsidRDefault="008263C2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388</w:t>
            </w:r>
          </w:p>
        </w:tc>
        <w:tc>
          <w:tcPr>
            <w:tcW w:w="344" w:type="pct"/>
            <w:vAlign w:val="center"/>
          </w:tcPr>
          <w:p w:rsidR="00917B92" w:rsidRPr="00FC6A21" w:rsidRDefault="008263C2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</w:t>
            </w:r>
            <w:r w:rsidR="003F2A9B">
              <w:rPr>
                <w:color w:val="000000"/>
                <w:szCs w:val="24"/>
                <w:lang w:eastAsia="lt-LT"/>
              </w:rPr>
              <w:t>81</w:t>
            </w:r>
          </w:p>
        </w:tc>
        <w:tc>
          <w:tcPr>
            <w:tcW w:w="318" w:type="pct"/>
            <w:vAlign w:val="center"/>
          </w:tcPr>
          <w:p w:rsidR="00917B92" w:rsidRPr="00FC6A21" w:rsidRDefault="008263C2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469</w:t>
            </w:r>
          </w:p>
        </w:tc>
        <w:tc>
          <w:tcPr>
            <w:tcW w:w="299" w:type="pct"/>
            <w:vAlign w:val="center"/>
          </w:tcPr>
          <w:p w:rsidR="00917B92" w:rsidRPr="00FC6A21" w:rsidRDefault="008263C2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446</w:t>
            </w:r>
          </w:p>
        </w:tc>
        <w:tc>
          <w:tcPr>
            <w:tcW w:w="299" w:type="pct"/>
            <w:vAlign w:val="center"/>
          </w:tcPr>
          <w:p w:rsidR="00917B92" w:rsidRPr="00FC6A21" w:rsidRDefault="008263C2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094</w:t>
            </w:r>
          </w:p>
        </w:tc>
        <w:tc>
          <w:tcPr>
            <w:tcW w:w="300" w:type="pct"/>
            <w:vAlign w:val="center"/>
          </w:tcPr>
          <w:p w:rsidR="00917B92" w:rsidRPr="00FC6A21" w:rsidRDefault="008263C2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54</w:t>
            </w:r>
          </w:p>
        </w:tc>
        <w:tc>
          <w:tcPr>
            <w:tcW w:w="299" w:type="pct"/>
            <w:vAlign w:val="center"/>
          </w:tcPr>
          <w:p w:rsidR="00917B92" w:rsidRPr="00FC6A21" w:rsidRDefault="008263C2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466</w:t>
            </w:r>
          </w:p>
        </w:tc>
        <w:tc>
          <w:tcPr>
            <w:tcW w:w="299" w:type="pct"/>
            <w:vAlign w:val="center"/>
          </w:tcPr>
          <w:p w:rsidR="00917B92" w:rsidRPr="00FC6A21" w:rsidRDefault="008263C2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</w:t>
            </w:r>
            <w:r w:rsidR="003255C6">
              <w:rPr>
                <w:color w:val="000000"/>
                <w:szCs w:val="24"/>
                <w:lang w:eastAsia="lt-LT"/>
              </w:rPr>
              <w:t>98</w:t>
            </w:r>
          </w:p>
        </w:tc>
        <w:tc>
          <w:tcPr>
            <w:tcW w:w="299" w:type="pct"/>
            <w:vAlign w:val="center"/>
          </w:tcPr>
          <w:p w:rsidR="00917B92" w:rsidRPr="00FC6A21" w:rsidRDefault="008263C2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564</w:t>
            </w:r>
          </w:p>
        </w:tc>
      </w:tr>
      <w:tr w:rsidR="003255C6" w:rsidRPr="00BC1EAC" w:rsidTr="003F2A9B">
        <w:tc>
          <w:tcPr>
            <w:tcW w:w="190" w:type="pct"/>
            <w:vAlign w:val="center"/>
          </w:tcPr>
          <w:p w:rsidR="003255C6" w:rsidRPr="00BC1EAC" w:rsidRDefault="003255C6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25" w:type="pct"/>
            <w:vAlign w:val="center"/>
          </w:tcPr>
          <w:p w:rsidR="003255C6" w:rsidRPr="00BC1EAC" w:rsidRDefault="003255C6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neįrengta bendroji nuotekų šalinimo inžinerinė sistema</w:t>
            </w:r>
          </w:p>
        </w:tc>
        <w:tc>
          <w:tcPr>
            <w:tcW w:w="333" w:type="pct"/>
            <w:vAlign w:val="center"/>
          </w:tcPr>
          <w:p w:rsidR="003255C6" w:rsidRPr="00F05A82" w:rsidRDefault="003255C6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0,97</w:t>
            </w:r>
          </w:p>
        </w:tc>
        <w:tc>
          <w:tcPr>
            <w:tcW w:w="299" w:type="pct"/>
            <w:vAlign w:val="center"/>
          </w:tcPr>
          <w:p w:rsidR="003255C6" w:rsidRDefault="003255C6" w:rsidP="003F2A9B">
            <w:pPr>
              <w:jc w:val="center"/>
            </w:pPr>
            <w:r w:rsidRPr="00352E05">
              <w:rPr>
                <w:color w:val="000000"/>
                <w:szCs w:val="24"/>
                <w:lang w:eastAsia="lt-LT"/>
              </w:rPr>
              <w:t>0,033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0,0069</w:t>
            </w:r>
          </w:p>
        </w:tc>
        <w:tc>
          <w:tcPr>
            <w:tcW w:w="300" w:type="pct"/>
            <w:vAlign w:val="center"/>
          </w:tcPr>
          <w:p w:rsidR="003255C6" w:rsidRPr="00FC6A21" w:rsidRDefault="003255C6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0,0399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0,0388</w:t>
            </w:r>
          </w:p>
        </w:tc>
        <w:tc>
          <w:tcPr>
            <w:tcW w:w="344" w:type="pct"/>
            <w:vAlign w:val="center"/>
          </w:tcPr>
          <w:p w:rsidR="003255C6" w:rsidRPr="00FC6A21" w:rsidRDefault="003255C6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0,0081</w:t>
            </w:r>
          </w:p>
        </w:tc>
        <w:tc>
          <w:tcPr>
            <w:tcW w:w="318" w:type="pct"/>
            <w:vAlign w:val="center"/>
          </w:tcPr>
          <w:p w:rsidR="003255C6" w:rsidRPr="00FC6A21" w:rsidRDefault="003255C6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0,0469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0,0446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0,0094</w:t>
            </w:r>
          </w:p>
        </w:tc>
        <w:tc>
          <w:tcPr>
            <w:tcW w:w="300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0,054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0,0466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0,0098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0,0564</w:t>
            </w:r>
          </w:p>
        </w:tc>
      </w:tr>
      <w:tr w:rsidR="003F2A9B" w:rsidRPr="00BC1EAC" w:rsidTr="003F2A9B">
        <w:tc>
          <w:tcPr>
            <w:tcW w:w="190" w:type="pct"/>
            <w:vAlign w:val="center"/>
          </w:tcPr>
          <w:p w:rsidR="003F2A9B" w:rsidRPr="00BC1EAC" w:rsidRDefault="003F2A9B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25" w:type="pct"/>
            <w:vAlign w:val="center"/>
          </w:tcPr>
          <w:p w:rsidR="003F2A9B" w:rsidRPr="00BC1EAC" w:rsidRDefault="003F2A9B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neįrengta bendroji elektros inžinerinė sistema</w:t>
            </w:r>
          </w:p>
        </w:tc>
        <w:tc>
          <w:tcPr>
            <w:tcW w:w="333" w:type="pct"/>
            <w:vAlign w:val="center"/>
          </w:tcPr>
          <w:p w:rsidR="003F2A9B" w:rsidRPr="00F05A82" w:rsidRDefault="003F2A9B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0,98</w:t>
            </w:r>
          </w:p>
        </w:tc>
        <w:tc>
          <w:tcPr>
            <w:tcW w:w="299" w:type="pct"/>
            <w:vAlign w:val="center"/>
          </w:tcPr>
          <w:p w:rsidR="003F2A9B" w:rsidRDefault="003F2A9B" w:rsidP="003F2A9B">
            <w:pPr>
              <w:jc w:val="center"/>
            </w:pPr>
            <w:r w:rsidRPr="00352E05">
              <w:rPr>
                <w:color w:val="000000"/>
                <w:szCs w:val="24"/>
                <w:lang w:eastAsia="lt-LT"/>
              </w:rPr>
              <w:t>0,033</w:t>
            </w:r>
          </w:p>
        </w:tc>
        <w:tc>
          <w:tcPr>
            <w:tcW w:w="299" w:type="pct"/>
            <w:vAlign w:val="center"/>
          </w:tcPr>
          <w:p w:rsidR="003F2A9B" w:rsidRPr="00FC6A21" w:rsidRDefault="003F2A9B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0,007</w:t>
            </w:r>
          </w:p>
        </w:tc>
        <w:tc>
          <w:tcPr>
            <w:tcW w:w="300" w:type="pct"/>
            <w:vAlign w:val="center"/>
          </w:tcPr>
          <w:p w:rsidR="003F2A9B" w:rsidRPr="00FC6A21" w:rsidRDefault="003F2A9B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0,0403</w:t>
            </w:r>
          </w:p>
        </w:tc>
        <w:tc>
          <w:tcPr>
            <w:tcW w:w="299" w:type="pct"/>
            <w:vAlign w:val="center"/>
          </w:tcPr>
          <w:p w:rsidR="003F2A9B" w:rsidRPr="00FC6A21" w:rsidRDefault="003F2A9B" w:rsidP="008263C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0,0392</w:t>
            </w:r>
          </w:p>
        </w:tc>
        <w:tc>
          <w:tcPr>
            <w:tcW w:w="344" w:type="pct"/>
            <w:vAlign w:val="center"/>
          </w:tcPr>
          <w:p w:rsidR="003F2A9B" w:rsidRPr="00FC6A21" w:rsidRDefault="003F2A9B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0,0082</w:t>
            </w:r>
          </w:p>
        </w:tc>
        <w:tc>
          <w:tcPr>
            <w:tcW w:w="318" w:type="pct"/>
            <w:vAlign w:val="center"/>
          </w:tcPr>
          <w:p w:rsidR="003F2A9B" w:rsidRPr="00FC6A21" w:rsidRDefault="003F2A9B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0,0474</w:t>
            </w:r>
          </w:p>
        </w:tc>
        <w:tc>
          <w:tcPr>
            <w:tcW w:w="299" w:type="pct"/>
            <w:vAlign w:val="center"/>
          </w:tcPr>
          <w:p w:rsidR="003F2A9B" w:rsidRPr="00FC6A21" w:rsidRDefault="003F2A9B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451</w:t>
            </w:r>
          </w:p>
        </w:tc>
        <w:tc>
          <w:tcPr>
            <w:tcW w:w="299" w:type="pct"/>
            <w:vAlign w:val="center"/>
          </w:tcPr>
          <w:p w:rsidR="003F2A9B" w:rsidRPr="00FC6A21" w:rsidRDefault="003F2A9B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</w:t>
            </w:r>
            <w:r w:rsidR="003255C6">
              <w:rPr>
                <w:color w:val="000000"/>
                <w:szCs w:val="24"/>
                <w:lang w:eastAsia="lt-LT"/>
              </w:rPr>
              <w:t>95</w:t>
            </w:r>
          </w:p>
        </w:tc>
        <w:tc>
          <w:tcPr>
            <w:tcW w:w="300" w:type="pct"/>
            <w:vAlign w:val="center"/>
          </w:tcPr>
          <w:p w:rsidR="003F2A9B" w:rsidRPr="00FC6A21" w:rsidRDefault="003F2A9B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546</w:t>
            </w:r>
          </w:p>
        </w:tc>
        <w:tc>
          <w:tcPr>
            <w:tcW w:w="299" w:type="pct"/>
            <w:vAlign w:val="center"/>
          </w:tcPr>
          <w:p w:rsidR="003F2A9B" w:rsidRPr="00FC6A21" w:rsidRDefault="003F2A9B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47</w:t>
            </w:r>
          </w:p>
        </w:tc>
        <w:tc>
          <w:tcPr>
            <w:tcW w:w="299" w:type="pct"/>
            <w:vAlign w:val="center"/>
          </w:tcPr>
          <w:p w:rsidR="003F2A9B" w:rsidRPr="00FC6A21" w:rsidRDefault="003F2A9B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</w:t>
            </w:r>
            <w:r w:rsidR="003255C6">
              <w:rPr>
                <w:color w:val="000000"/>
                <w:szCs w:val="24"/>
                <w:lang w:eastAsia="lt-LT"/>
              </w:rPr>
              <w:t>99</w:t>
            </w:r>
          </w:p>
        </w:tc>
        <w:tc>
          <w:tcPr>
            <w:tcW w:w="299" w:type="pct"/>
            <w:vAlign w:val="center"/>
          </w:tcPr>
          <w:p w:rsidR="003F2A9B" w:rsidRPr="00FC6A21" w:rsidRDefault="003F2A9B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569</w:t>
            </w:r>
          </w:p>
        </w:tc>
      </w:tr>
      <w:tr w:rsidR="003255C6" w:rsidRPr="00BC1EAC" w:rsidTr="003F2A9B">
        <w:tc>
          <w:tcPr>
            <w:tcW w:w="190" w:type="pct"/>
            <w:vAlign w:val="center"/>
          </w:tcPr>
          <w:p w:rsidR="003255C6" w:rsidRPr="00BC1EAC" w:rsidRDefault="003255C6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825" w:type="pct"/>
            <w:vAlign w:val="center"/>
          </w:tcPr>
          <w:p w:rsidR="003255C6" w:rsidRPr="00BC1EAC" w:rsidRDefault="003255C6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nėra bendrojo naudojimo patalpų</w:t>
            </w:r>
          </w:p>
        </w:tc>
        <w:tc>
          <w:tcPr>
            <w:tcW w:w="333" w:type="pct"/>
            <w:vAlign w:val="center"/>
          </w:tcPr>
          <w:p w:rsidR="003255C6" w:rsidRPr="00F05A82" w:rsidRDefault="003255C6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0,98</w:t>
            </w:r>
          </w:p>
        </w:tc>
        <w:tc>
          <w:tcPr>
            <w:tcW w:w="299" w:type="pct"/>
            <w:vAlign w:val="center"/>
          </w:tcPr>
          <w:p w:rsidR="003255C6" w:rsidRDefault="003255C6" w:rsidP="003F2A9B">
            <w:pPr>
              <w:jc w:val="center"/>
            </w:pPr>
            <w:r w:rsidRPr="00352E05">
              <w:rPr>
                <w:color w:val="000000"/>
                <w:szCs w:val="24"/>
                <w:lang w:eastAsia="lt-LT"/>
              </w:rPr>
              <w:t>0,033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0,007</w:t>
            </w:r>
          </w:p>
        </w:tc>
        <w:tc>
          <w:tcPr>
            <w:tcW w:w="300" w:type="pct"/>
            <w:vAlign w:val="center"/>
          </w:tcPr>
          <w:p w:rsidR="003255C6" w:rsidRPr="00FC6A21" w:rsidRDefault="003255C6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0,0403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0,0392</w:t>
            </w:r>
          </w:p>
        </w:tc>
        <w:tc>
          <w:tcPr>
            <w:tcW w:w="344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0,0082</w:t>
            </w:r>
          </w:p>
        </w:tc>
        <w:tc>
          <w:tcPr>
            <w:tcW w:w="318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0,0474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0,0451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0,0095</w:t>
            </w:r>
          </w:p>
        </w:tc>
        <w:tc>
          <w:tcPr>
            <w:tcW w:w="300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0,0546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0,047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0,0099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0,0569</w:t>
            </w:r>
          </w:p>
        </w:tc>
      </w:tr>
      <w:tr w:rsidR="009C0150" w:rsidRPr="00BC1EAC" w:rsidTr="009C0150">
        <w:tc>
          <w:tcPr>
            <w:tcW w:w="190" w:type="pct"/>
            <w:vAlign w:val="center"/>
          </w:tcPr>
          <w:p w:rsidR="008263C2" w:rsidRPr="00BC1EAC" w:rsidRDefault="008263C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825" w:type="pct"/>
            <w:vAlign w:val="center"/>
          </w:tcPr>
          <w:p w:rsidR="008263C2" w:rsidRPr="00BC1EAC" w:rsidRDefault="008263C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 be išskirtinių techninės priežiūros ypatumų</w:t>
            </w:r>
          </w:p>
        </w:tc>
        <w:tc>
          <w:tcPr>
            <w:tcW w:w="333" w:type="pct"/>
            <w:vAlign w:val="center"/>
          </w:tcPr>
          <w:p w:rsidR="008263C2" w:rsidRPr="00F05A82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1</w:t>
            </w:r>
            <w:r>
              <w:rPr>
                <w:color w:val="000000"/>
                <w:szCs w:val="24"/>
                <w:lang w:eastAsia="lt-LT"/>
              </w:rPr>
              <w:t>,00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34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</w:t>
            </w:r>
            <w:r w:rsidR="003F2A9B">
              <w:rPr>
                <w:color w:val="000000"/>
                <w:szCs w:val="24"/>
                <w:lang w:eastAsia="lt-LT"/>
              </w:rPr>
              <w:t>71</w:t>
            </w:r>
          </w:p>
        </w:tc>
        <w:tc>
          <w:tcPr>
            <w:tcW w:w="300" w:type="pct"/>
            <w:vAlign w:val="center"/>
          </w:tcPr>
          <w:p w:rsidR="008263C2" w:rsidRPr="00FC6A21" w:rsidRDefault="008263C2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411</w:t>
            </w:r>
          </w:p>
        </w:tc>
        <w:tc>
          <w:tcPr>
            <w:tcW w:w="299" w:type="pct"/>
            <w:vAlign w:val="center"/>
          </w:tcPr>
          <w:p w:rsidR="008263C2" w:rsidRPr="00FC6A21" w:rsidRDefault="003F2A9B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8263C2">
              <w:rPr>
                <w:color w:val="000000"/>
                <w:szCs w:val="24"/>
                <w:lang w:eastAsia="lt-LT"/>
              </w:rPr>
              <w:t>4</w:t>
            </w:r>
          </w:p>
        </w:tc>
        <w:tc>
          <w:tcPr>
            <w:tcW w:w="344" w:type="pct"/>
            <w:vAlign w:val="center"/>
          </w:tcPr>
          <w:p w:rsidR="008263C2" w:rsidRPr="00FC6A21" w:rsidRDefault="008263C2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</w:t>
            </w:r>
            <w:r w:rsidR="003F2A9B">
              <w:rPr>
                <w:color w:val="000000"/>
                <w:szCs w:val="24"/>
                <w:lang w:eastAsia="lt-LT"/>
              </w:rPr>
              <w:t>84</w:t>
            </w:r>
          </w:p>
        </w:tc>
        <w:tc>
          <w:tcPr>
            <w:tcW w:w="318" w:type="pct"/>
            <w:vAlign w:val="center"/>
          </w:tcPr>
          <w:p w:rsidR="008263C2" w:rsidRPr="00FC6A21" w:rsidRDefault="008263C2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484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4</w:t>
            </w:r>
            <w:r>
              <w:rPr>
                <w:color w:val="000000"/>
                <w:szCs w:val="24"/>
                <w:lang w:eastAsia="lt-LT"/>
              </w:rPr>
              <w:t>6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</w:t>
            </w:r>
            <w:r w:rsidR="003255C6">
              <w:rPr>
                <w:color w:val="000000"/>
                <w:szCs w:val="24"/>
                <w:lang w:eastAsia="lt-LT"/>
              </w:rPr>
              <w:t>97</w:t>
            </w:r>
          </w:p>
        </w:tc>
        <w:tc>
          <w:tcPr>
            <w:tcW w:w="300" w:type="pct"/>
            <w:vAlign w:val="center"/>
          </w:tcPr>
          <w:p w:rsidR="008263C2" w:rsidRPr="00FC6A21" w:rsidRDefault="008263C2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557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48</w:t>
            </w:r>
          </w:p>
        </w:tc>
        <w:tc>
          <w:tcPr>
            <w:tcW w:w="299" w:type="pct"/>
            <w:vAlign w:val="center"/>
          </w:tcPr>
          <w:p w:rsidR="008263C2" w:rsidRPr="00FC6A21" w:rsidRDefault="009C0150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101</w:t>
            </w:r>
          </w:p>
        </w:tc>
        <w:tc>
          <w:tcPr>
            <w:tcW w:w="299" w:type="pct"/>
            <w:vAlign w:val="center"/>
          </w:tcPr>
          <w:p w:rsidR="008263C2" w:rsidRPr="00FC6A21" w:rsidRDefault="009C0150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581</w:t>
            </w:r>
          </w:p>
        </w:tc>
      </w:tr>
      <w:tr w:rsidR="009C0150" w:rsidRPr="00BC1EAC" w:rsidTr="009C0150">
        <w:tc>
          <w:tcPr>
            <w:tcW w:w="190" w:type="pct"/>
            <w:vAlign w:val="center"/>
          </w:tcPr>
          <w:p w:rsidR="009C0150" w:rsidRPr="00BC1EAC" w:rsidRDefault="009C0150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825" w:type="pct"/>
            <w:vAlign w:val="center"/>
          </w:tcPr>
          <w:p w:rsidR="009C0150" w:rsidRPr="00BC1EAC" w:rsidRDefault="009C0150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įrengta bendroji saugos ir ryšių sistema</w:t>
            </w:r>
          </w:p>
        </w:tc>
        <w:tc>
          <w:tcPr>
            <w:tcW w:w="333" w:type="pct"/>
            <w:vAlign w:val="center"/>
          </w:tcPr>
          <w:p w:rsidR="009C0150" w:rsidRPr="00F05A82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1,01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343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</w:t>
            </w:r>
            <w:r w:rsidR="003F2A9B">
              <w:rPr>
                <w:color w:val="000000"/>
                <w:szCs w:val="24"/>
                <w:lang w:eastAsia="lt-LT"/>
              </w:rPr>
              <w:t>72</w:t>
            </w:r>
          </w:p>
        </w:tc>
        <w:tc>
          <w:tcPr>
            <w:tcW w:w="300" w:type="pct"/>
            <w:vAlign w:val="center"/>
          </w:tcPr>
          <w:p w:rsidR="009C0150" w:rsidRPr="00FC6A21" w:rsidRDefault="009C0150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415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404</w:t>
            </w:r>
          </w:p>
        </w:tc>
        <w:tc>
          <w:tcPr>
            <w:tcW w:w="344" w:type="pct"/>
            <w:vAlign w:val="center"/>
          </w:tcPr>
          <w:p w:rsidR="009C0150" w:rsidRPr="00FC6A21" w:rsidRDefault="009C0150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</w:t>
            </w:r>
            <w:r w:rsidR="003F2A9B">
              <w:rPr>
                <w:color w:val="000000"/>
                <w:szCs w:val="24"/>
                <w:lang w:eastAsia="lt-LT"/>
              </w:rPr>
              <w:t>85</w:t>
            </w:r>
          </w:p>
        </w:tc>
        <w:tc>
          <w:tcPr>
            <w:tcW w:w="318" w:type="pct"/>
            <w:vAlign w:val="center"/>
          </w:tcPr>
          <w:p w:rsidR="009C0150" w:rsidRPr="00FC6A21" w:rsidRDefault="009C0150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489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465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</w:t>
            </w:r>
            <w:r w:rsidR="003255C6">
              <w:rPr>
                <w:color w:val="000000"/>
                <w:szCs w:val="24"/>
                <w:lang w:eastAsia="lt-LT"/>
              </w:rPr>
              <w:t>98</w:t>
            </w:r>
          </w:p>
        </w:tc>
        <w:tc>
          <w:tcPr>
            <w:tcW w:w="300" w:type="pct"/>
            <w:vAlign w:val="center"/>
          </w:tcPr>
          <w:p w:rsidR="009C0150" w:rsidRPr="00FC6A21" w:rsidRDefault="009C0150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563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485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102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587</w:t>
            </w:r>
          </w:p>
        </w:tc>
      </w:tr>
      <w:tr w:rsidR="009C0150" w:rsidRPr="00BC1EAC" w:rsidTr="009C0150">
        <w:tc>
          <w:tcPr>
            <w:tcW w:w="190" w:type="pct"/>
            <w:vAlign w:val="center"/>
          </w:tcPr>
          <w:p w:rsidR="009C0150" w:rsidRPr="00BC1EAC" w:rsidRDefault="009C0150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825" w:type="pct"/>
            <w:vAlign w:val="center"/>
          </w:tcPr>
          <w:p w:rsidR="009C0150" w:rsidRPr="00BC1EAC" w:rsidRDefault="009C0150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kurių stogas – šlaitinis</w:t>
            </w:r>
          </w:p>
        </w:tc>
        <w:tc>
          <w:tcPr>
            <w:tcW w:w="333" w:type="pct"/>
            <w:vAlign w:val="center"/>
          </w:tcPr>
          <w:p w:rsidR="009C0150" w:rsidRPr="00F05A82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1,15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391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</w:t>
            </w:r>
            <w:r w:rsidR="003F2A9B">
              <w:rPr>
                <w:color w:val="000000"/>
                <w:szCs w:val="24"/>
                <w:lang w:eastAsia="lt-LT"/>
              </w:rPr>
              <w:t>82</w:t>
            </w:r>
          </w:p>
        </w:tc>
        <w:tc>
          <w:tcPr>
            <w:tcW w:w="300" w:type="pct"/>
            <w:vAlign w:val="center"/>
          </w:tcPr>
          <w:p w:rsidR="009C0150" w:rsidRPr="00FC6A21" w:rsidRDefault="009C0150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473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46</w:t>
            </w:r>
          </w:p>
        </w:tc>
        <w:tc>
          <w:tcPr>
            <w:tcW w:w="344" w:type="pct"/>
            <w:vAlign w:val="center"/>
          </w:tcPr>
          <w:p w:rsidR="009C0150" w:rsidRPr="00FC6A21" w:rsidRDefault="009C0150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</w:t>
            </w:r>
            <w:r w:rsidR="003F2A9B">
              <w:rPr>
                <w:color w:val="000000"/>
                <w:szCs w:val="24"/>
                <w:lang w:eastAsia="lt-LT"/>
              </w:rPr>
              <w:t>97</w:t>
            </w:r>
          </w:p>
        </w:tc>
        <w:tc>
          <w:tcPr>
            <w:tcW w:w="318" w:type="pct"/>
            <w:vAlign w:val="center"/>
          </w:tcPr>
          <w:p w:rsidR="009C0150" w:rsidRPr="00FC6A21" w:rsidRDefault="009C0150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F2A9B">
              <w:rPr>
                <w:color w:val="000000"/>
                <w:szCs w:val="24"/>
                <w:lang w:eastAsia="lt-LT"/>
              </w:rPr>
              <w:t>557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529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011</w:t>
            </w:r>
          </w:p>
        </w:tc>
        <w:tc>
          <w:tcPr>
            <w:tcW w:w="300" w:type="pct"/>
            <w:vAlign w:val="center"/>
          </w:tcPr>
          <w:p w:rsidR="009C0150" w:rsidRPr="00FC6A21" w:rsidRDefault="009C0150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64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552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116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3255C6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</w:t>
            </w:r>
            <w:r w:rsidR="003255C6">
              <w:rPr>
                <w:color w:val="000000"/>
                <w:szCs w:val="24"/>
                <w:lang w:eastAsia="lt-LT"/>
              </w:rPr>
              <w:t>668</w:t>
            </w:r>
          </w:p>
        </w:tc>
      </w:tr>
      <w:tr w:rsidR="003255C6" w:rsidRPr="00BC1EAC" w:rsidTr="009C0150">
        <w:tc>
          <w:tcPr>
            <w:tcW w:w="190" w:type="pct"/>
            <w:vAlign w:val="center"/>
          </w:tcPr>
          <w:p w:rsidR="003255C6" w:rsidRPr="00BC1EAC" w:rsidRDefault="003255C6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825" w:type="pct"/>
            <w:vAlign w:val="center"/>
          </w:tcPr>
          <w:p w:rsidR="003255C6" w:rsidRPr="00BC1EAC" w:rsidRDefault="003255C6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Bendrabučio tipo namai</w:t>
            </w:r>
          </w:p>
        </w:tc>
        <w:tc>
          <w:tcPr>
            <w:tcW w:w="333" w:type="pct"/>
            <w:vAlign w:val="center"/>
          </w:tcPr>
          <w:p w:rsidR="003255C6" w:rsidRPr="00F05A82" w:rsidRDefault="003255C6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1,15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0,0391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0,0082</w:t>
            </w:r>
          </w:p>
        </w:tc>
        <w:tc>
          <w:tcPr>
            <w:tcW w:w="300" w:type="pct"/>
            <w:vAlign w:val="center"/>
          </w:tcPr>
          <w:p w:rsidR="003255C6" w:rsidRPr="00FC6A21" w:rsidRDefault="003255C6" w:rsidP="003F2A9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0,0473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0,046</w:t>
            </w:r>
          </w:p>
        </w:tc>
        <w:tc>
          <w:tcPr>
            <w:tcW w:w="344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0,0097</w:t>
            </w:r>
          </w:p>
        </w:tc>
        <w:tc>
          <w:tcPr>
            <w:tcW w:w="318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0,0557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0,0529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0,0011</w:t>
            </w:r>
          </w:p>
        </w:tc>
        <w:tc>
          <w:tcPr>
            <w:tcW w:w="300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0,064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0,0552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0,0116</w:t>
            </w:r>
          </w:p>
        </w:tc>
        <w:tc>
          <w:tcPr>
            <w:tcW w:w="299" w:type="pct"/>
            <w:vAlign w:val="center"/>
          </w:tcPr>
          <w:p w:rsidR="003255C6" w:rsidRPr="00FC6A21" w:rsidRDefault="003255C6" w:rsidP="00933284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0,0668</w:t>
            </w:r>
          </w:p>
        </w:tc>
      </w:tr>
    </w:tbl>
    <w:p w:rsidR="000F6926" w:rsidRDefault="000F6926" w:rsidP="000F6926">
      <w:pPr>
        <w:ind w:left="2127" w:hanging="2127"/>
        <w:jc w:val="center"/>
        <w:rPr>
          <w:b/>
          <w:bCs/>
          <w:caps/>
          <w:szCs w:val="24"/>
        </w:rPr>
      </w:pPr>
    </w:p>
    <w:p w:rsidR="009C0150" w:rsidRDefault="009C0150" w:rsidP="000F6926">
      <w:pPr>
        <w:ind w:left="2127" w:hanging="2127"/>
        <w:jc w:val="center"/>
        <w:rPr>
          <w:b/>
          <w:bCs/>
          <w:caps/>
          <w:szCs w:val="24"/>
        </w:rPr>
      </w:pPr>
    </w:p>
    <w:p w:rsidR="00917B92" w:rsidRDefault="00917B92" w:rsidP="000F6926">
      <w:pPr>
        <w:ind w:left="2127" w:hanging="2127"/>
        <w:jc w:val="center"/>
        <w:rPr>
          <w:b/>
          <w:bCs/>
          <w:caps/>
          <w:szCs w:val="24"/>
        </w:rPr>
      </w:pPr>
    </w:p>
    <w:p w:rsidR="00917B92" w:rsidRDefault="00917B92" w:rsidP="000F6926">
      <w:pPr>
        <w:ind w:left="2127" w:hanging="2127"/>
        <w:jc w:val="center"/>
        <w:rPr>
          <w:b/>
          <w:bCs/>
          <w:caps/>
          <w:szCs w:val="24"/>
        </w:rPr>
        <w:sectPr w:rsidR="00917B92" w:rsidSect="00B67556">
          <w:pgSz w:w="16838" w:h="11906" w:orient="landscape" w:code="9"/>
          <w:pgMar w:top="1135" w:right="1079" w:bottom="568" w:left="1134" w:header="567" w:footer="567" w:gutter="0"/>
          <w:cols w:space="1296"/>
          <w:docGrid w:linePitch="360"/>
        </w:sectPr>
      </w:pPr>
      <w:r>
        <w:rPr>
          <w:b/>
          <w:bCs/>
          <w:caps/>
          <w:szCs w:val="24"/>
        </w:rPr>
        <w:t>____________________________________</w:t>
      </w:r>
    </w:p>
    <w:p w:rsidR="00EF3F9B" w:rsidRDefault="00EF3F9B" w:rsidP="000F6926">
      <w:pPr>
        <w:ind w:left="2127" w:hanging="2127"/>
        <w:jc w:val="center"/>
        <w:rPr>
          <w:b/>
          <w:szCs w:val="24"/>
        </w:rPr>
      </w:pPr>
      <w:r>
        <w:rPr>
          <w:b/>
          <w:bCs/>
          <w:caps/>
          <w:szCs w:val="24"/>
        </w:rPr>
        <w:lastRenderedPageBreak/>
        <w:t xml:space="preserve">KAIŠIADORIŲ RAJONO SAVIVALDYBĖS TARYBOS sprendimo </w:t>
      </w:r>
    </w:p>
    <w:p w:rsidR="00B67556" w:rsidRDefault="008F2B96" w:rsidP="00B67556">
      <w:pPr>
        <w:jc w:val="center"/>
        <w:rPr>
          <w:b/>
          <w:szCs w:val="24"/>
        </w:rPr>
      </w:pPr>
      <w:r>
        <w:rPr>
          <w:b/>
          <w:szCs w:val="24"/>
        </w:rPr>
        <w:t>„</w:t>
      </w:r>
      <w:r w:rsidR="00B67556" w:rsidRPr="00723956">
        <w:rPr>
          <w:b/>
          <w:szCs w:val="24"/>
        </w:rPr>
        <w:t>DĖL KAIŠIADORIŲ</w:t>
      </w:r>
      <w:r w:rsidR="00B67556">
        <w:rPr>
          <w:b/>
          <w:szCs w:val="24"/>
        </w:rPr>
        <w:t xml:space="preserve"> RAJONO SAVIVALDYBĖS TARYBOS 2025 M. SAUSIO 30 </w:t>
      </w:r>
      <w:r w:rsidR="00B67556" w:rsidRPr="00723956">
        <w:rPr>
          <w:b/>
          <w:szCs w:val="24"/>
        </w:rPr>
        <w:t xml:space="preserve">D. </w:t>
      </w:r>
      <w:r w:rsidR="00B67556">
        <w:rPr>
          <w:b/>
          <w:szCs w:val="24"/>
        </w:rPr>
        <w:t>SPRENDIMO</w:t>
      </w:r>
      <w:r w:rsidR="00B67556" w:rsidRPr="00723956">
        <w:rPr>
          <w:b/>
          <w:szCs w:val="24"/>
        </w:rPr>
        <w:t xml:space="preserve">   NR</w:t>
      </w:r>
      <w:r w:rsidR="00B67556">
        <w:rPr>
          <w:b/>
          <w:szCs w:val="24"/>
        </w:rPr>
        <w:t>. V17E-24</w:t>
      </w:r>
      <w:r w:rsidR="00B67556" w:rsidRPr="00723956">
        <w:rPr>
          <w:b/>
          <w:szCs w:val="24"/>
        </w:rPr>
        <w:t xml:space="preserve"> „</w:t>
      </w:r>
      <w:r w:rsidR="00B67556">
        <w:rPr>
          <w:b/>
          <w:szCs w:val="24"/>
        </w:rPr>
        <w:t xml:space="preserve">DĖL DAUGIABUČIŲ GYVENAMŲJŲ NAMŲ </w:t>
      </w:r>
    </w:p>
    <w:p w:rsidR="00EF3F9B" w:rsidRDefault="00B67556" w:rsidP="00B67556">
      <w:pPr>
        <w:jc w:val="center"/>
        <w:rPr>
          <w:b/>
          <w:bCs/>
          <w:caps/>
          <w:szCs w:val="24"/>
        </w:rPr>
      </w:pPr>
      <w:r>
        <w:rPr>
          <w:b/>
          <w:szCs w:val="24"/>
        </w:rPr>
        <w:t>TECHNINĖS PRIEŽIŪROS MAKSIMALIŲ TARIFŲ PATVIRTINIMO</w:t>
      </w:r>
      <w:r w:rsidRPr="00723956">
        <w:rPr>
          <w:b/>
          <w:szCs w:val="24"/>
        </w:rPr>
        <w:t>“ PAKEITIMO</w:t>
      </w:r>
      <w:r w:rsidR="008F2B96">
        <w:rPr>
          <w:b/>
          <w:szCs w:val="24"/>
        </w:rPr>
        <w:t>“</w:t>
      </w:r>
      <w:r w:rsidR="00EF3F9B">
        <w:rPr>
          <w:b/>
          <w:szCs w:val="24"/>
        </w:rPr>
        <w:t>PROJEKTO</w:t>
      </w:r>
      <w:r w:rsidR="00EF3F9B">
        <w:rPr>
          <w:b/>
          <w:bCs/>
          <w:caps/>
          <w:szCs w:val="24"/>
        </w:rPr>
        <w:t>aiškinamasis raštas</w:t>
      </w:r>
    </w:p>
    <w:p w:rsidR="00EF3F9B" w:rsidRDefault="00EF3F9B" w:rsidP="00EF3F9B">
      <w:pPr>
        <w:spacing w:line="360" w:lineRule="auto"/>
        <w:jc w:val="center"/>
        <w:rPr>
          <w:bCs/>
          <w:szCs w:val="24"/>
        </w:rPr>
      </w:pPr>
      <w:r>
        <w:rPr>
          <w:bCs/>
          <w:szCs w:val="24"/>
        </w:rPr>
        <w:t>202</w:t>
      </w:r>
      <w:r w:rsidR="009C0150">
        <w:rPr>
          <w:bCs/>
          <w:szCs w:val="24"/>
        </w:rPr>
        <w:t>5</w:t>
      </w:r>
      <w:r>
        <w:rPr>
          <w:bCs/>
          <w:szCs w:val="24"/>
        </w:rPr>
        <w:t xml:space="preserve"> m. </w:t>
      </w:r>
      <w:r w:rsidR="00D81129">
        <w:rPr>
          <w:bCs/>
          <w:szCs w:val="24"/>
        </w:rPr>
        <w:t>lapkričio</w:t>
      </w:r>
      <w:r w:rsidR="009C0150">
        <w:rPr>
          <w:bCs/>
          <w:szCs w:val="24"/>
        </w:rPr>
        <w:t xml:space="preserve"> 1</w:t>
      </w:r>
      <w:r w:rsidR="00D81129">
        <w:rPr>
          <w:bCs/>
          <w:szCs w:val="24"/>
        </w:rPr>
        <w:t>1</w:t>
      </w:r>
      <w:r>
        <w:rPr>
          <w:bCs/>
          <w:szCs w:val="24"/>
        </w:rPr>
        <w:t xml:space="preserve"> d.</w:t>
      </w:r>
    </w:p>
    <w:p w:rsidR="00EF3F9B" w:rsidRDefault="00EF3F9B" w:rsidP="00E146C7">
      <w:pPr>
        <w:ind w:left="2127" w:hanging="2127"/>
        <w:jc w:val="center"/>
        <w:rPr>
          <w:b/>
          <w:szCs w:val="24"/>
        </w:rPr>
      </w:pPr>
    </w:p>
    <w:p w:rsidR="00917B92" w:rsidRPr="001D5741" w:rsidRDefault="00917B92" w:rsidP="003C5347">
      <w:pPr>
        <w:pStyle w:val="Pagrindinistekstas"/>
        <w:spacing w:after="0" w:line="360" w:lineRule="auto"/>
        <w:ind w:firstLine="720"/>
        <w:rPr>
          <w:b/>
        </w:rPr>
      </w:pPr>
      <w:r w:rsidRPr="001D5741">
        <w:rPr>
          <w:b/>
        </w:rPr>
        <w:t>1. PROJEKTO TIKSLAI IR UŽDAVINIAI</w:t>
      </w:r>
    </w:p>
    <w:p w:rsidR="00917B92" w:rsidRDefault="00917B92" w:rsidP="00861ACC">
      <w:pPr>
        <w:spacing w:before="100" w:beforeAutospacing="1" w:after="100" w:afterAutospacing="1" w:line="360" w:lineRule="auto"/>
        <w:ind w:firstLine="567"/>
        <w:jc w:val="both"/>
        <w:rPr>
          <w:szCs w:val="24"/>
          <w:lang w:eastAsia="lt-LT"/>
        </w:rPr>
      </w:pPr>
      <w:r>
        <w:rPr>
          <w:szCs w:val="24"/>
        </w:rPr>
        <w:t>Atsižvel</w:t>
      </w:r>
      <w:r w:rsidR="000965F6">
        <w:rPr>
          <w:szCs w:val="24"/>
        </w:rPr>
        <w:t>giant</w:t>
      </w:r>
      <w:r w:rsidR="001D5741">
        <w:rPr>
          <w:szCs w:val="24"/>
        </w:rPr>
        <w:t xml:space="preserve"> į </w:t>
      </w:r>
      <w:r>
        <w:rPr>
          <w:szCs w:val="24"/>
        </w:rPr>
        <w:t xml:space="preserve">bendro naudojimo objektų </w:t>
      </w:r>
      <w:r w:rsidR="001D5741">
        <w:t>d</w:t>
      </w:r>
      <w:r w:rsidR="001D5741" w:rsidRPr="001747D7">
        <w:t xml:space="preserve">augiabučių gyvenamųjų namų techninės priežiūros </w:t>
      </w:r>
      <w:r w:rsidR="001D5741">
        <w:t xml:space="preserve">faktinių išlaidų skaičiavimus, kurie atlikti vadovaujantis </w:t>
      </w:r>
      <w:r w:rsidR="00F87763">
        <w:t xml:space="preserve">Daugiabučių gyvenamųjų namų techninės priežiūros tarifo apskaičiavimo metodika, </w:t>
      </w:r>
      <w:r w:rsidR="00F87763">
        <w:rPr>
          <w:szCs w:val="24"/>
          <w:lang w:eastAsia="lt-LT"/>
        </w:rPr>
        <w:t>patvirtinta</w:t>
      </w:r>
      <w:r w:rsidR="00B3066A">
        <w:rPr>
          <w:szCs w:val="24"/>
          <w:lang w:eastAsia="lt-LT"/>
        </w:rPr>
        <w:t xml:space="preserve"> </w:t>
      </w:r>
      <w:r w:rsidR="001D5741" w:rsidRPr="003B7EF0">
        <w:rPr>
          <w:szCs w:val="24"/>
          <w:lang w:eastAsia="lt-LT"/>
        </w:rPr>
        <w:t>Lietuvos Respublikos aplinkos ministro 2018 m. gegužės 3 d. įsakymu Nr. D1-354</w:t>
      </w:r>
      <w:r w:rsidR="001D5741">
        <w:rPr>
          <w:szCs w:val="24"/>
          <w:lang w:eastAsia="lt-LT"/>
        </w:rPr>
        <w:t xml:space="preserve"> „Dėl </w:t>
      </w:r>
      <w:r w:rsidR="00C5691D">
        <w:t>d</w:t>
      </w:r>
      <w:r w:rsidR="001D5741">
        <w:t xml:space="preserve">augiabučių gyvenamųjų namų techninės priežiūros tarifo apskaičiavimo metodikos patvirtinimo“ </w:t>
      </w:r>
      <w:r w:rsidR="003C5347">
        <w:t>(toliau – Metodika)</w:t>
      </w:r>
      <w:r w:rsidR="001D5741">
        <w:t xml:space="preserve">, </w:t>
      </w:r>
      <w:r w:rsidR="004461B5">
        <w:t xml:space="preserve"> Aplinkos ministro </w:t>
      </w:r>
      <w:r w:rsidR="004461B5" w:rsidRPr="004461B5">
        <w:rPr>
          <w:szCs w:val="24"/>
          <w:lang w:eastAsia="lt-LT"/>
        </w:rPr>
        <w:t xml:space="preserve">2024 m. lapkričio 25 d. </w:t>
      </w:r>
      <w:r w:rsidR="004461B5">
        <w:rPr>
          <w:szCs w:val="24"/>
          <w:lang w:eastAsia="lt-LT"/>
        </w:rPr>
        <w:t>įsakym</w:t>
      </w:r>
      <w:r w:rsidR="000965F6">
        <w:rPr>
          <w:szCs w:val="24"/>
          <w:lang w:eastAsia="lt-LT"/>
        </w:rPr>
        <w:t>u</w:t>
      </w:r>
      <w:r w:rsidR="00B3066A">
        <w:rPr>
          <w:szCs w:val="24"/>
          <w:lang w:eastAsia="lt-LT"/>
        </w:rPr>
        <w:t xml:space="preserve"> </w:t>
      </w:r>
      <w:r w:rsidR="004461B5" w:rsidRPr="004461B5">
        <w:rPr>
          <w:szCs w:val="24"/>
          <w:lang w:eastAsia="lt-LT"/>
        </w:rPr>
        <w:t>Nr. D1-402</w:t>
      </w:r>
      <w:r w:rsidR="00861ACC">
        <w:rPr>
          <w:szCs w:val="24"/>
          <w:lang w:eastAsia="lt-LT"/>
        </w:rPr>
        <w:t xml:space="preserve"> „</w:t>
      </w:r>
      <w:r w:rsidR="004461B5">
        <w:rPr>
          <w:szCs w:val="24"/>
          <w:lang w:eastAsia="lt-LT"/>
        </w:rPr>
        <w:t xml:space="preserve">Dėl </w:t>
      </w:r>
      <w:r w:rsidR="00861ACC" w:rsidRPr="00861ACC">
        <w:rPr>
          <w:szCs w:val="24"/>
        </w:rPr>
        <w:t>Lietuvos Respublikos aplinkos ministro 2016 m. gruodžio 30 d. įsakym</w:t>
      </w:r>
      <w:r w:rsidR="00861ACC">
        <w:rPr>
          <w:szCs w:val="24"/>
        </w:rPr>
        <w:t>o</w:t>
      </w:r>
      <w:r w:rsidR="00861ACC" w:rsidRPr="00861ACC">
        <w:rPr>
          <w:szCs w:val="24"/>
        </w:rPr>
        <w:t xml:space="preserve"> Nr. D1</w:t>
      </w:r>
      <w:r w:rsidR="00861ACC" w:rsidRPr="00861ACC">
        <w:rPr>
          <w:szCs w:val="24"/>
        </w:rPr>
        <w:noBreakHyphen/>
        <w:t xml:space="preserve">971 „Dėl </w:t>
      </w:r>
      <w:r w:rsidR="000965F6">
        <w:rPr>
          <w:szCs w:val="24"/>
        </w:rPr>
        <w:t>S</w:t>
      </w:r>
      <w:r w:rsidR="00861ACC" w:rsidRPr="00861ACC">
        <w:rPr>
          <w:szCs w:val="24"/>
        </w:rPr>
        <w:t>tatybos techninio reglamento STR 1.07.03:2017 „Statinių techninės ir naudojimo priežiūros tvarka. Naujų nekilnojamojo turto kadastro objektų (inžinerinių statinių) formavimo tvarka“ patvirtinimo“</w:t>
      </w:r>
      <w:r w:rsidR="00861ACC">
        <w:rPr>
          <w:szCs w:val="24"/>
        </w:rPr>
        <w:t xml:space="preserve"> pakeitimo“ 1.8 papunktį</w:t>
      </w:r>
      <w:r w:rsidR="000965F6">
        <w:rPr>
          <w:szCs w:val="24"/>
        </w:rPr>
        <w:t>,</w:t>
      </w:r>
      <w:r w:rsidR="00B3066A">
        <w:rPr>
          <w:szCs w:val="24"/>
        </w:rPr>
        <w:t xml:space="preserve"> </w:t>
      </w:r>
      <w:r w:rsidR="00037C05">
        <w:rPr>
          <w:szCs w:val="24"/>
        </w:rPr>
        <w:t xml:space="preserve">Aplinkos ministro 2025 m. birželio 5 d. įsakymu Nr. D1-74 </w:t>
      </w:r>
      <w:r w:rsidR="00037C05">
        <w:t xml:space="preserve">„Dėl Pastatų duomenų banko informacinės sistemos steigimo ir jos nuostatų patvirtinimo“, </w:t>
      </w:r>
      <w:r w:rsidR="001D5741">
        <w:t>tvirtin</w:t>
      </w:r>
      <w:r w:rsidR="00624F5D">
        <w:t xml:space="preserve">ami maksimalūs techninės priežiūros tarifai namų grupėms, atsižvelgiant į namo bendrą plotą, </w:t>
      </w:r>
      <w:r w:rsidR="003C5347">
        <w:t>techninės priežiūros ypatumus.</w:t>
      </w:r>
    </w:p>
    <w:p w:rsidR="00917B92" w:rsidRPr="003C5347" w:rsidRDefault="00917B92" w:rsidP="003C5347">
      <w:pPr>
        <w:pStyle w:val="Pagrindinistekstas"/>
        <w:spacing w:after="0" w:line="360" w:lineRule="auto"/>
        <w:ind w:firstLine="567"/>
        <w:rPr>
          <w:b/>
          <w:bCs/>
        </w:rPr>
      </w:pPr>
      <w:r w:rsidRPr="003C5347">
        <w:rPr>
          <w:b/>
          <w:bCs/>
        </w:rPr>
        <w:t xml:space="preserve">2. </w:t>
      </w:r>
      <w:r w:rsidRPr="003C5347">
        <w:rPr>
          <w:b/>
        </w:rPr>
        <w:t>LĖŠŲ POREIKIS IR ŠALTINIAI</w:t>
      </w:r>
    </w:p>
    <w:p w:rsidR="003C5347" w:rsidRPr="00A07EEB" w:rsidRDefault="003C5347" w:rsidP="003C5347">
      <w:pPr>
        <w:spacing w:line="360" w:lineRule="auto"/>
        <w:ind w:firstLine="567"/>
        <w:jc w:val="both"/>
        <w:rPr>
          <w:bCs/>
          <w:szCs w:val="24"/>
        </w:rPr>
      </w:pPr>
      <w:r w:rsidRPr="00A07EEB">
        <w:rPr>
          <w:bCs/>
          <w:spacing w:val="-1"/>
          <w:szCs w:val="24"/>
        </w:rPr>
        <w:t xml:space="preserve">Sprendimui įgyvendinti lėšos nereikalingos. </w:t>
      </w:r>
    </w:p>
    <w:p w:rsidR="00917B92" w:rsidRPr="003C5347" w:rsidRDefault="00917B92" w:rsidP="001A2831">
      <w:pPr>
        <w:pStyle w:val="Pagrindinistekstas"/>
        <w:spacing w:after="0" w:line="360" w:lineRule="auto"/>
        <w:ind w:firstLine="567"/>
        <w:rPr>
          <w:b/>
          <w:bCs/>
        </w:rPr>
      </w:pPr>
      <w:r w:rsidRPr="003C5347">
        <w:rPr>
          <w:b/>
        </w:rPr>
        <w:t>3. SIŪLOMOS TEISINIO REGULIAVIMO NUOSTATOS, LAUKIAMI REZULTATAI</w:t>
      </w:r>
    </w:p>
    <w:p w:rsidR="00917B92" w:rsidRDefault="003C5347" w:rsidP="003C5347">
      <w:pPr>
        <w:pStyle w:val="Pagrindinistekstas"/>
        <w:spacing w:after="0" w:line="360" w:lineRule="auto"/>
        <w:ind w:firstLine="567"/>
        <w:jc w:val="both"/>
        <w:rPr>
          <w:bCs/>
        </w:rPr>
      </w:pPr>
      <w:r w:rsidRPr="001747D7">
        <w:t>Daugiabučių gyvenamųjų namų techninės priežiūros tarifo apskaičiavim</w:t>
      </w:r>
      <w:r>
        <w:t>o</w:t>
      </w:r>
      <w:r w:rsidRPr="001747D7">
        <w:t xml:space="preserve"> metodika  nustato daugiabučių gyvenamųjų namų techninės priežiūros tarifo apskaičiavimo tvarką, kai daugiabučių gyvenamųjų namų techninę priežiūrą vykdo Lietuvos Respublikos civilinio kodekso nustatyta tvarka savivaldybės paskirtas bendrojo naudojimo objektų administratorius</w:t>
      </w:r>
      <w:r w:rsidR="006368FF">
        <w:t>.</w:t>
      </w:r>
    </w:p>
    <w:p w:rsidR="00917B92" w:rsidRDefault="00917B92" w:rsidP="003C5347">
      <w:pPr>
        <w:spacing w:line="360" w:lineRule="auto"/>
        <w:ind w:firstLine="709"/>
        <w:jc w:val="both"/>
        <w:rPr>
          <w:b/>
          <w:szCs w:val="24"/>
        </w:rPr>
      </w:pPr>
      <w:r w:rsidRPr="00CC1FF7">
        <w:rPr>
          <w:b/>
          <w:szCs w:val="24"/>
        </w:rPr>
        <w:t>4. KITI SPRENDIMUI PRIIMTI REIKALINGI PAGRINDIMAI, SKAIČIAVIMAI AR PAAIŠKINIMAI</w:t>
      </w:r>
    </w:p>
    <w:p w:rsidR="00954613" w:rsidRDefault="00861ACC" w:rsidP="00954613">
      <w:pPr>
        <w:spacing w:line="360" w:lineRule="auto"/>
        <w:ind w:firstLine="567"/>
        <w:jc w:val="both"/>
      </w:pPr>
      <w:r w:rsidRPr="00861ACC">
        <w:rPr>
          <w:szCs w:val="24"/>
        </w:rPr>
        <w:t>STR 1.07.03:2017 „Statinių techninės ir naudojimo priežiūros tvarka. Naujų nekilnojamojo turto kadastro objektų (inžinerinių statinių) formavimo tvarka“ 87.2</w:t>
      </w:r>
      <w:r w:rsidRPr="00861ACC">
        <w:rPr>
          <w:szCs w:val="24"/>
          <w:vertAlign w:val="superscript"/>
        </w:rPr>
        <w:t>1</w:t>
      </w:r>
      <w:r w:rsidR="00B3066A">
        <w:rPr>
          <w:szCs w:val="24"/>
          <w:vertAlign w:val="superscript"/>
        </w:rPr>
        <w:t xml:space="preserve">  </w:t>
      </w:r>
      <w:r>
        <w:rPr>
          <w:szCs w:val="24"/>
        </w:rPr>
        <w:t>papunktyje nustatyta, kad nuo 2025 m. lapkričio 1 d.</w:t>
      </w:r>
      <w:r w:rsidRPr="00861ACC">
        <w:rPr>
          <w:szCs w:val="24"/>
        </w:rPr>
        <w:t xml:space="preserve"> daugiabučių namų kasmetinės apžiūros </w:t>
      </w:r>
      <w:r>
        <w:rPr>
          <w:szCs w:val="24"/>
        </w:rPr>
        <w:t xml:space="preserve">turi būti registruojamos </w:t>
      </w:r>
      <w:r w:rsidRPr="00861ACC">
        <w:rPr>
          <w:szCs w:val="24"/>
        </w:rPr>
        <w:t>Pastatų duomenų banko informacinės sistemos pastato elektroniniame techninės priežiūros žurnale</w:t>
      </w:r>
      <w:r>
        <w:rPr>
          <w:szCs w:val="24"/>
        </w:rPr>
        <w:t>.</w:t>
      </w:r>
      <w:r w:rsidR="003A3C54">
        <w:rPr>
          <w:szCs w:val="24"/>
        </w:rPr>
        <w:t xml:space="preserve"> Aplinkos ministro 2025 m. birželio 5 d. įsakymu Nr. D1-74 </w:t>
      </w:r>
      <w:r w:rsidR="003A3C54">
        <w:t xml:space="preserve">„Dėl Pastatų duomenų banko informacinės sistemos steigimo ir jos nuostatų patvirtinimo“ </w:t>
      </w:r>
      <w:r w:rsidR="00B3066A">
        <w:t xml:space="preserve"> </w:t>
      </w:r>
      <w:r w:rsidR="00954613">
        <w:t xml:space="preserve">nustatyta, </w:t>
      </w:r>
      <w:r w:rsidR="00B3066A">
        <w:t xml:space="preserve"> </w:t>
      </w:r>
      <w:r w:rsidR="00954613">
        <w:t xml:space="preserve">kaip </w:t>
      </w:r>
      <w:r w:rsidR="00B3066A">
        <w:t xml:space="preserve"> </w:t>
      </w:r>
      <w:r w:rsidR="00954613">
        <w:t xml:space="preserve">dažnai reikėtų </w:t>
      </w:r>
      <w:r w:rsidR="00B3066A">
        <w:t xml:space="preserve"> </w:t>
      </w:r>
      <w:r w:rsidR="00954613">
        <w:t>tikrinti</w:t>
      </w:r>
    </w:p>
    <w:p w:rsidR="00954613" w:rsidRPr="00A07EEB" w:rsidRDefault="00954613" w:rsidP="00954613">
      <w:pPr>
        <w:spacing w:line="360" w:lineRule="auto"/>
        <w:ind w:firstLine="567"/>
        <w:jc w:val="center"/>
        <w:rPr>
          <w:szCs w:val="24"/>
        </w:rPr>
      </w:pPr>
      <w:r>
        <w:rPr>
          <w:szCs w:val="24"/>
          <w:lang w:eastAsia="lt-LT"/>
        </w:rPr>
        <w:lastRenderedPageBreak/>
        <w:t>2</w:t>
      </w:r>
    </w:p>
    <w:p w:rsidR="003A3C54" w:rsidRDefault="00954613" w:rsidP="00954613">
      <w:pPr>
        <w:spacing w:line="360" w:lineRule="auto"/>
        <w:jc w:val="both"/>
      </w:pPr>
      <w:r>
        <w:t>inžinerines sistemas, namo konstrukcijas. Šiuos patikrinimus turi atlikti akredituoti priežiūros specialistai ar bendrovės. Nuolatin</w:t>
      </w:r>
      <w:r w:rsidR="008F2B96">
        <w:t>iai</w:t>
      </w:r>
      <w:r>
        <w:t xml:space="preserve"> stebėjimai atliekami 1 kartą per 3 mėnesius neypatingiems statiniams, 1 kartą per du mėnesius ypatingiems statiniams. Apžiūras 2 kartus per metus, specializuotas apžiūras – 1 kartą per metus, atlieka atestuotų specialistų komisija. </w:t>
      </w:r>
      <w:r w:rsidR="005B2653">
        <w:t>Rengiant 2025 m. sausio 30 d. sprendim</w:t>
      </w:r>
      <w:r w:rsidR="008F2B96">
        <w:t>ą Nr.</w:t>
      </w:r>
      <w:r w:rsidR="005B2653">
        <w:t xml:space="preserve"> V17E-24 „</w:t>
      </w:r>
      <w:r w:rsidR="005B2653">
        <w:rPr>
          <w:szCs w:val="24"/>
        </w:rPr>
        <w:t xml:space="preserve">Dėl </w:t>
      </w:r>
      <w:r w:rsidR="008F2B96">
        <w:rPr>
          <w:szCs w:val="24"/>
        </w:rPr>
        <w:t>D</w:t>
      </w:r>
      <w:r w:rsidR="005B2653">
        <w:rPr>
          <w:szCs w:val="24"/>
        </w:rPr>
        <w:t>augiabučių gyvenamųjų namų techninės priežiūros maksimalių tarifų patvirtinimo“</w:t>
      </w:r>
      <w:r w:rsidR="008F2B96">
        <w:rPr>
          <w:szCs w:val="24"/>
        </w:rPr>
        <w:t>,</w:t>
      </w:r>
      <w:r w:rsidR="005B2653">
        <w:rPr>
          <w:szCs w:val="24"/>
        </w:rPr>
        <w:t xml:space="preserve"> buvo vadovautasi tuo metu galiojusiais teisės aktais ir techninę priežiūrą atliekančios bendrovės pateikta informacija, kad apžiūras atlieka 1 vadybininkas, kurio darbo </w:t>
      </w:r>
      <w:r w:rsidR="00037C05">
        <w:rPr>
          <w:szCs w:val="24"/>
        </w:rPr>
        <w:t>užmokestis</w:t>
      </w:r>
      <w:r w:rsidR="008F2B96">
        <w:rPr>
          <w:szCs w:val="24"/>
        </w:rPr>
        <w:t xml:space="preserve"> –</w:t>
      </w:r>
      <w:r w:rsidR="005B2653">
        <w:rPr>
          <w:szCs w:val="24"/>
        </w:rPr>
        <w:t xml:space="preserve"> 1200 eurų per mėn. </w:t>
      </w:r>
      <w:r w:rsidR="00037C05">
        <w:rPr>
          <w:szCs w:val="24"/>
        </w:rPr>
        <w:t>(1200+35%</w:t>
      </w:r>
      <w:r w:rsidR="00037C05">
        <w:rPr>
          <w:rFonts w:ascii="Calibri" w:hAnsi="Calibri" w:cs="Calibri"/>
          <w:szCs w:val="24"/>
        </w:rPr>
        <w:t>=</w:t>
      </w:r>
      <w:r w:rsidR="00037C05">
        <w:rPr>
          <w:szCs w:val="24"/>
        </w:rPr>
        <w:t>1620 eurų).</w:t>
      </w:r>
    </w:p>
    <w:p w:rsidR="00954613" w:rsidRPr="003A3C54" w:rsidRDefault="002D272F" w:rsidP="00954613">
      <w:pPr>
        <w:spacing w:line="360" w:lineRule="auto"/>
        <w:ind w:firstLine="567"/>
        <w:jc w:val="both"/>
        <w:rPr>
          <w:szCs w:val="24"/>
        </w:rPr>
      </w:pPr>
      <w:r>
        <w:t xml:space="preserve">Faktiškai </w:t>
      </w:r>
      <w:r w:rsidR="005B2653">
        <w:t>apskaičiuotas</w:t>
      </w:r>
      <w:r w:rsidR="00D468A0">
        <w:t xml:space="preserve"> Kaišiadorių rajono savivaldybės teritorijoje daugiabučių namų techninę priežiūrą atliekančios bendrovės </w:t>
      </w:r>
      <w:r w:rsidR="005B2653">
        <w:t>tarifas</w:t>
      </w:r>
      <w:r w:rsidR="00D468A0">
        <w:t>,</w:t>
      </w:r>
      <w:r w:rsidR="005B2653">
        <w:t xml:space="preserve"> kai</w:t>
      </w:r>
      <w:r w:rsidR="00D468A0">
        <w:t xml:space="preserve"> paslauga teikiama 153 daugiabučiams namams</w:t>
      </w:r>
      <w:r>
        <w:t xml:space="preserve">, kurių bendras plotas </w:t>
      </w:r>
      <w:r w:rsidR="008F2B96">
        <w:t>y</w:t>
      </w:r>
      <w:r>
        <w:t>ra 195464 m</w:t>
      </w:r>
      <w:r>
        <w:rPr>
          <w:vertAlign w:val="superscript"/>
        </w:rPr>
        <w:t>2</w:t>
      </w:r>
      <w:r>
        <w:t>.</w:t>
      </w:r>
      <w:r w:rsidR="00954613">
        <w:t xml:space="preserve">Vieno daugiabučio namo apžiūrai skiriama 3 val., dokumentų tvarkymui </w:t>
      </w:r>
      <w:r w:rsidR="008F2B96">
        <w:t xml:space="preserve">– </w:t>
      </w:r>
      <w:r w:rsidR="00954613">
        <w:t xml:space="preserve">1 val. </w:t>
      </w:r>
      <w:r w:rsidR="00D468A0">
        <w:t>(153x4</w:t>
      </w:r>
      <w:r w:rsidR="00D468A0">
        <w:rPr>
          <w:rFonts w:ascii="Calibri" w:hAnsi="Calibri" w:cs="Calibri"/>
        </w:rPr>
        <w:t>=</w:t>
      </w:r>
      <w:r w:rsidR="00D468A0">
        <w:t xml:space="preserve">612 val.). Neypatingiems statiniams 6 apžiūros per metus, ypatingiems – 8 apžiūros per metus, vidutiniškai </w:t>
      </w:r>
      <w:r w:rsidR="008F2B96">
        <w:t>–</w:t>
      </w:r>
      <w:r w:rsidR="00D468A0">
        <w:t xml:space="preserve">  4284 darbo valandos (8284 val.: </w:t>
      </w:r>
      <w:r>
        <w:t>7</w:t>
      </w:r>
      <w:r w:rsidR="00037C05">
        <w:t xml:space="preserve"> val.</w:t>
      </w:r>
      <w:r w:rsidR="00D468A0">
        <w:rPr>
          <w:rFonts w:ascii="Calibri" w:hAnsi="Calibri" w:cs="Calibri"/>
        </w:rPr>
        <w:t>=</w:t>
      </w:r>
      <w:r>
        <w:t>612 darbo dienų). Per 2025 metus yra 252 darbo dienos, tai sudaro 2,4 etato. Darbo užmokesčiui neatskaičius mokesčių skiriama 2606 eurai (2606x2,4</w:t>
      </w:r>
      <w:r>
        <w:rPr>
          <w:rFonts w:ascii="Calibri" w:hAnsi="Calibri" w:cs="Calibri"/>
        </w:rPr>
        <w:t>=</w:t>
      </w:r>
      <w:r>
        <w:t>6254,40+35 %</w:t>
      </w:r>
      <w:r>
        <w:rPr>
          <w:rFonts w:ascii="Calibri" w:hAnsi="Calibri" w:cs="Calibri"/>
        </w:rPr>
        <w:t>=</w:t>
      </w:r>
      <w:r>
        <w:t>8443,44 eur</w:t>
      </w:r>
      <w:r w:rsidR="008F2B96">
        <w:t>o</w:t>
      </w:r>
      <w:r>
        <w:t xml:space="preserve">). Apskaičiuotas techninės priežiūros tarifas </w:t>
      </w:r>
      <w:r w:rsidR="008F2B96">
        <w:t xml:space="preserve">– </w:t>
      </w:r>
      <w:r>
        <w:t xml:space="preserve">0,0432 </w:t>
      </w:r>
      <w:proofErr w:type="spellStart"/>
      <w:r w:rsidR="008F2B96">
        <w:t>E</w:t>
      </w:r>
      <w:r>
        <w:t>ur</w:t>
      </w:r>
      <w:proofErr w:type="spellEnd"/>
      <w:r>
        <w:t xml:space="preserve"> be PVM (8443,44:195464</w:t>
      </w:r>
      <w:r>
        <w:rPr>
          <w:rFonts w:ascii="Calibri" w:hAnsi="Calibri" w:cs="Calibri"/>
        </w:rPr>
        <w:t>=</w:t>
      </w:r>
      <w:r>
        <w:t>0,0432).</w:t>
      </w:r>
    </w:p>
    <w:p w:rsidR="003C5347" w:rsidRPr="00FA788F" w:rsidRDefault="003C5347" w:rsidP="003C5347">
      <w:pPr>
        <w:spacing w:line="360" w:lineRule="auto"/>
        <w:ind w:firstLine="567"/>
        <w:jc w:val="both"/>
        <w:rPr>
          <w:szCs w:val="24"/>
          <w:lang w:val="pt-BR" w:eastAsia="lt-LT"/>
        </w:rPr>
      </w:pPr>
      <w:r w:rsidRPr="00A07EEB">
        <w:rPr>
          <w:szCs w:val="24"/>
          <w:lang w:eastAsia="lt-LT"/>
        </w:rPr>
        <w:t>Tarifui apskaičiuoti pasirinktas vidutinio dydžio 1500 m</w:t>
      </w:r>
      <w:r w:rsidRPr="00A07EEB">
        <w:rPr>
          <w:szCs w:val="24"/>
          <w:vertAlign w:val="superscript"/>
          <w:lang w:eastAsia="lt-LT"/>
        </w:rPr>
        <w:t>2</w:t>
      </w:r>
      <w:r w:rsidRPr="00A07EEB">
        <w:rPr>
          <w:szCs w:val="24"/>
          <w:lang w:eastAsia="lt-LT"/>
        </w:rPr>
        <w:t xml:space="preserve"> bendrojo ploto namas (Nacionalinės žemės tarnybos prie Žemės ūkio ministerijos ir valstybės įmonės Registrų centro parengtais 2018 m. sausio 1 d. Lietuvos Respublikos nekilnojamojo turto registre įregistruotų statinių apskaitos duomenimis) (toliau – pasirinktas namas).</w:t>
      </w:r>
      <w:r w:rsidR="00861ACC">
        <w:rPr>
          <w:szCs w:val="24"/>
          <w:lang w:eastAsia="lt-LT"/>
        </w:rPr>
        <w:t xml:space="preserve"> Darbo užmokesčio dydis </w:t>
      </w:r>
      <w:r w:rsidR="00206DE3">
        <w:rPr>
          <w:szCs w:val="24"/>
          <w:lang w:eastAsia="lt-LT"/>
        </w:rPr>
        <w:t xml:space="preserve">nustatytas iš Oficialiosios statistikos portalo (elektroninis adresas </w:t>
      </w:r>
      <w:r w:rsidR="00206DE3" w:rsidRPr="00206DE3">
        <w:rPr>
          <w:szCs w:val="24"/>
          <w:lang w:eastAsia="lt-LT"/>
        </w:rPr>
        <w:t>https://osp.stat.gov.lt/statistiniu-rodikliu-analize#/</w:t>
      </w:r>
      <w:r w:rsidR="00206DE3">
        <w:rPr>
          <w:szCs w:val="24"/>
          <w:lang w:eastAsia="lt-LT"/>
        </w:rPr>
        <w:t>).</w:t>
      </w:r>
    </w:p>
    <w:p w:rsidR="003C5347" w:rsidRDefault="003C5347" w:rsidP="003C5347">
      <w:pPr>
        <w:spacing w:line="360" w:lineRule="auto"/>
        <w:ind w:firstLine="567"/>
        <w:jc w:val="both"/>
        <w:rPr>
          <w:szCs w:val="24"/>
          <w:lang w:eastAsia="lt-LT"/>
        </w:rPr>
      </w:pPr>
      <w:bookmarkStart w:id="2" w:name="part_c6ca83b1cd0b40b6be8a0b30fb70f80e"/>
      <w:bookmarkEnd w:id="2"/>
      <w:r w:rsidRPr="00A07EEB">
        <w:rPr>
          <w:szCs w:val="24"/>
          <w:lang w:eastAsia="lt-LT"/>
        </w:rPr>
        <w:t xml:space="preserve"> Pasirinkto namo tarifas apskaičiuojamas pagal formulę:</w:t>
      </w:r>
    </w:p>
    <w:p w:rsidR="003C5347" w:rsidRPr="00FA788F" w:rsidRDefault="003C5347" w:rsidP="003C5347">
      <w:pPr>
        <w:spacing w:line="360" w:lineRule="auto"/>
        <w:ind w:firstLine="567"/>
        <w:jc w:val="both"/>
        <w:rPr>
          <w:szCs w:val="24"/>
          <w:lang w:eastAsia="lt-LT"/>
        </w:rPr>
      </w:pPr>
      <w:r w:rsidRPr="00023429">
        <w:rPr>
          <w:szCs w:val="24"/>
          <w:lang w:eastAsia="lt-LT"/>
        </w:rPr>
        <w:t> T = D /(</w:t>
      </w:r>
      <w:proofErr w:type="spellStart"/>
      <w:r w:rsidRPr="00023429">
        <w:rPr>
          <w:szCs w:val="24"/>
          <w:lang w:eastAsia="lt-LT"/>
        </w:rPr>
        <w:t>N</w:t>
      </w:r>
      <w:r w:rsidRPr="00023429">
        <w:rPr>
          <w:szCs w:val="24"/>
          <w:vertAlign w:val="subscript"/>
          <w:lang w:eastAsia="lt-LT"/>
        </w:rPr>
        <w:t>pl</w:t>
      </w:r>
      <w:proofErr w:type="spellEnd"/>
      <w:r w:rsidRPr="00023429">
        <w:rPr>
          <w:szCs w:val="24"/>
          <w:lang w:eastAsia="lt-LT"/>
        </w:rPr>
        <w:t xml:space="preserve"> ×12) = (D</w:t>
      </w:r>
      <w:r w:rsidRPr="00023429">
        <w:rPr>
          <w:szCs w:val="24"/>
          <w:vertAlign w:val="subscript"/>
          <w:lang w:eastAsia="lt-LT"/>
        </w:rPr>
        <w:t xml:space="preserve">1 </w:t>
      </w:r>
      <w:r w:rsidRPr="00023429">
        <w:rPr>
          <w:szCs w:val="24"/>
          <w:lang w:eastAsia="lt-LT"/>
        </w:rPr>
        <w:t>+ D</w:t>
      </w:r>
      <w:r w:rsidRPr="00023429">
        <w:rPr>
          <w:szCs w:val="24"/>
          <w:vertAlign w:val="subscript"/>
          <w:lang w:eastAsia="lt-LT"/>
        </w:rPr>
        <w:t>2</w:t>
      </w:r>
      <w:r w:rsidRPr="00023429">
        <w:rPr>
          <w:szCs w:val="24"/>
          <w:lang w:eastAsia="lt-LT"/>
        </w:rPr>
        <w:t>) /(</w:t>
      </w:r>
      <w:proofErr w:type="spellStart"/>
      <w:r w:rsidRPr="00023429">
        <w:rPr>
          <w:szCs w:val="24"/>
          <w:lang w:eastAsia="lt-LT"/>
        </w:rPr>
        <w:t>N</w:t>
      </w:r>
      <w:r w:rsidRPr="00023429">
        <w:rPr>
          <w:szCs w:val="24"/>
          <w:vertAlign w:val="subscript"/>
          <w:lang w:eastAsia="lt-LT"/>
        </w:rPr>
        <w:t>pl</w:t>
      </w:r>
      <w:proofErr w:type="spellEnd"/>
      <w:r w:rsidRPr="00023429">
        <w:rPr>
          <w:szCs w:val="24"/>
          <w:lang w:eastAsia="lt-LT"/>
        </w:rPr>
        <w:t xml:space="preserve"> ×12)=</w:t>
      </w:r>
      <w:r w:rsidR="00276C35">
        <w:rPr>
          <w:szCs w:val="24"/>
          <w:lang w:eastAsia="lt-LT"/>
        </w:rPr>
        <w:t xml:space="preserve"> 0,0</w:t>
      </w:r>
      <w:r w:rsidR="00C5691D">
        <w:rPr>
          <w:szCs w:val="24"/>
          <w:lang w:eastAsia="lt-LT"/>
        </w:rPr>
        <w:t>4</w:t>
      </w:r>
      <w:r w:rsidR="00276C35" w:rsidRPr="00023429">
        <w:rPr>
          <w:szCs w:val="24"/>
          <w:lang w:eastAsia="lt-LT"/>
        </w:rPr>
        <w:t>Eur</w:t>
      </w:r>
      <w:r w:rsidR="00276C35">
        <w:rPr>
          <w:szCs w:val="24"/>
          <w:lang w:eastAsia="lt-LT"/>
        </w:rPr>
        <w:t xml:space="preserve"> už </w:t>
      </w:r>
      <w:r w:rsidR="00276C35" w:rsidRPr="00023429">
        <w:rPr>
          <w:szCs w:val="24"/>
          <w:lang w:eastAsia="lt-LT"/>
        </w:rPr>
        <w:t>m</w:t>
      </w:r>
      <w:r w:rsidR="00276C35" w:rsidRPr="00023429">
        <w:rPr>
          <w:szCs w:val="24"/>
          <w:vertAlign w:val="superscript"/>
          <w:lang w:eastAsia="lt-LT"/>
        </w:rPr>
        <w:t>2</w:t>
      </w:r>
      <w:r w:rsidR="00276C35" w:rsidRPr="00023429">
        <w:rPr>
          <w:szCs w:val="24"/>
          <w:lang w:eastAsia="lt-LT"/>
        </w:rPr>
        <w:t>/mėn</w:t>
      </w:r>
      <w:r w:rsidR="00276C35">
        <w:rPr>
          <w:szCs w:val="24"/>
          <w:lang w:eastAsia="lt-LT"/>
        </w:rPr>
        <w:t>.</w:t>
      </w:r>
      <w:r w:rsidR="00276C35" w:rsidRPr="00023429">
        <w:rPr>
          <w:szCs w:val="24"/>
          <w:lang w:eastAsia="lt-LT"/>
        </w:rPr>
        <w:t>,</w:t>
      </w:r>
      <w:r w:rsidRPr="00023429">
        <w:rPr>
          <w:szCs w:val="24"/>
          <w:lang w:eastAsia="lt-LT"/>
        </w:rPr>
        <w:t> kur:</w:t>
      </w:r>
    </w:p>
    <w:p w:rsidR="003C5347" w:rsidRPr="00FA788F" w:rsidRDefault="003C5347" w:rsidP="003C5347">
      <w:pPr>
        <w:spacing w:line="360" w:lineRule="auto"/>
        <w:ind w:firstLine="567"/>
        <w:jc w:val="both"/>
        <w:rPr>
          <w:szCs w:val="24"/>
          <w:lang w:val="pt-BR" w:eastAsia="lt-LT"/>
        </w:rPr>
      </w:pPr>
      <w:r w:rsidRPr="00023429">
        <w:rPr>
          <w:szCs w:val="24"/>
          <w:lang w:eastAsia="lt-LT"/>
        </w:rPr>
        <w:t xml:space="preserve">T – vidutinio dydžio namo tarifas, </w:t>
      </w:r>
      <w:proofErr w:type="spellStart"/>
      <w:r w:rsidRPr="00023429">
        <w:rPr>
          <w:szCs w:val="24"/>
          <w:lang w:eastAsia="lt-LT"/>
        </w:rPr>
        <w:t>Eur</w:t>
      </w:r>
      <w:proofErr w:type="spellEnd"/>
      <w:r>
        <w:rPr>
          <w:szCs w:val="24"/>
          <w:lang w:eastAsia="lt-LT"/>
        </w:rPr>
        <w:t xml:space="preserve"> už </w:t>
      </w:r>
      <w:r w:rsidRPr="00023429">
        <w:rPr>
          <w:szCs w:val="24"/>
          <w:lang w:eastAsia="lt-LT"/>
        </w:rPr>
        <w:t>m</w:t>
      </w:r>
      <w:r w:rsidRPr="00023429">
        <w:rPr>
          <w:szCs w:val="24"/>
          <w:vertAlign w:val="superscript"/>
          <w:lang w:eastAsia="lt-LT"/>
        </w:rPr>
        <w:t>2</w:t>
      </w:r>
      <w:r w:rsidRPr="00023429">
        <w:rPr>
          <w:szCs w:val="24"/>
          <w:lang w:eastAsia="lt-LT"/>
        </w:rPr>
        <w:t>/mėn</w:t>
      </w:r>
      <w:r>
        <w:rPr>
          <w:szCs w:val="24"/>
          <w:lang w:eastAsia="lt-LT"/>
        </w:rPr>
        <w:t>.</w:t>
      </w:r>
      <w:r w:rsidRPr="00023429">
        <w:rPr>
          <w:szCs w:val="24"/>
          <w:lang w:eastAsia="lt-LT"/>
        </w:rPr>
        <w:t xml:space="preserve"> (nurodomas be pridėtinės vertės mokesčio (toliau – PVM) ir tarifas su PVM)</w:t>
      </w:r>
      <w:r w:rsidR="008F2B96">
        <w:rPr>
          <w:szCs w:val="24"/>
          <w:lang w:eastAsia="lt-LT"/>
        </w:rPr>
        <w:t>;</w:t>
      </w:r>
    </w:p>
    <w:p w:rsidR="006368FF" w:rsidRDefault="003C5347" w:rsidP="00276C35">
      <w:pPr>
        <w:spacing w:line="360" w:lineRule="auto"/>
        <w:ind w:firstLine="567"/>
        <w:jc w:val="both"/>
        <w:rPr>
          <w:szCs w:val="24"/>
          <w:lang w:eastAsia="lt-LT"/>
        </w:rPr>
      </w:pPr>
      <w:bookmarkStart w:id="3" w:name="part_2bff37810af04cdb8ef74da0ad473504"/>
      <w:bookmarkEnd w:id="3"/>
      <w:r w:rsidRPr="00023429">
        <w:rPr>
          <w:szCs w:val="24"/>
          <w:lang w:eastAsia="lt-LT"/>
        </w:rPr>
        <w:t xml:space="preserve">Maksimalūs techninės priežiūros tarifai – namų grupėms savivaldybės tarybos pagal metodiką </w:t>
      </w:r>
    </w:p>
    <w:p w:rsidR="003C5347" w:rsidRDefault="003C5347" w:rsidP="006368FF">
      <w:pPr>
        <w:spacing w:line="360" w:lineRule="auto"/>
        <w:jc w:val="both"/>
        <w:rPr>
          <w:szCs w:val="24"/>
          <w:lang w:eastAsia="lt-LT"/>
        </w:rPr>
      </w:pPr>
      <w:r w:rsidRPr="00023429">
        <w:rPr>
          <w:szCs w:val="24"/>
          <w:lang w:eastAsia="lt-LT"/>
        </w:rPr>
        <w:t xml:space="preserve">nustatyti didžiausi galimi techninės priežiūros mokėjimai. Skaičiuojant maksimalius tarifus namų grupėms, atsižvelgiama į namo dydį ir techninės priežiūros ypatumus. </w:t>
      </w:r>
    </w:p>
    <w:p w:rsidR="00037C05" w:rsidRPr="001747D7" w:rsidRDefault="006368FF" w:rsidP="006368FF">
      <w:pPr>
        <w:spacing w:line="360" w:lineRule="auto"/>
        <w:ind w:firstLine="284"/>
        <w:jc w:val="both"/>
        <w:rPr>
          <w:szCs w:val="24"/>
        </w:rPr>
      </w:pPr>
      <w:r w:rsidRPr="001747D7">
        <w:rPr>
          <w:szCs w:val="24"/>
        </w:rPr>
        <w:t>1.k</w:t>
      </w:r>
      <w:r w:rsidRPr="001747D7">
        <w:rPr>
          <w:szCs w:val="24"/>
          <w:vertAlign w:val="subscript"/>
        </w:rPr>
        <w:t>d</w:t>
      </w:r>
      <w:r w:rsidRPr="001747D7">
        <w:rPr>
          <w:szCs w:val="24"/>
        </w:rPr>
        <w:t xml:space="preserve"> ‒ daugiabučio gyvenamojo namo (toliau – namas) dydžio, išreikšto namo suminiu butų ir kitų patalpų naudinguoju plotu, įvertinimo koeficientas</w:t>
      </w:r>
      <w:r w:rsidR="00037C05">
        <w:rPr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993"/>
        <w:gridCol w:w="6804"/>
        <w:gridCol w:w="1842"/>
      </w:tblGrid>
      <w:tr w:rsidR="006368FF" w:rsidRPr="001747D7" w:rsidTr="00037C0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Eil.</w:t>
            </w:r>
            <w:r w:rsidR="00037C05">
              <w:rPr>
                <w:szCs w:val="24"/>
              </w:rPr>
              <w:t xml:space="preserve"> n</w:t>
            </w:r>
            <w:r w:rsidR="00037C05" w:rsidRPr="001747D7">
              <w:rPr>
                <w:szCs w:val="24"/>
              </w:rPr>
              <w:t>r.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037C05" w:rsidRDefault="006368FF" w:rsidP="00037C05">
            <w:pPr>
              <w:jc w:val="center"/>
              <w:rPr>
                <w:szCs w:val="24"/>
                <w:vertAlign w:val="superscript"/>
              </w:rPr>
            </w:pPr>
            <w:r w:rsidRPr="001747D7">
              <w:rPr>
                <w:szCs w:val="24"/>
              </w:rPr>
              <w:t>Namo dydis, m</w:t>
            </w:r>
            <w:r w:rsidRPr="001747D7">
              <w:rPr>
                <w:szCs w:val="24"/>
                <w:vertAlign w:val="superscript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 xml:space="preserve">Koeficientas </w:t>
            </w:r>
            <w:proofErr w:type="spellStart"/>
            <w:r w:rsidRPr="001747D7">
              <w:rPr>
                <w:szCs w:val="24"/>
              </w:rPr>
              <w:t>k</w:t>
            </w:r>
            <w:r w:rsidRPr="001747D7">
              <w:rPr>
                <w:szCs w:val="24"/>
                <w:vertAlign w:val="subscript"/>
              </w:rPr>
              <w:t>d</w:t>
            </w:r>
            <w:proofErr w:type="spellEnd"/>
          </w:p>
        </w:tc>
      </w:tr>
      <w:tr w:rsidR="006368FF" w:rsidRPr="001747D7" w:rsidTr="00037C0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Iki 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trike/>
                <w:szCs w:val="24"/>
              </w:rPr>
            </w:pPr>
            <w:r w:rsidRPr="001747D7">
              <w:rPr>
                <w:szCs w:val="24"/>
              </w:rPr>
              <w:t>0,85</w:t>
            </w:r>
          </w:p>
        </w:tc>
      </w:tr>
      <w:tr w:rsidR="006368FF" w:rsidRPr="001747D7" w:rsidTr="00037C0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1001–2000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1,00</w:t>
            </w:r>
          </w:p>
        </w:tc>
      </w:tr>
      <w:tr w:rsidR="006368FF" w:rsidRPr="001747D7" w:rsidTr="00037C05">
        <w:trPr>
          <w:trHeight w:val="3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2001–5000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1,15</w:t>
            </w:r>
          </w:p>
        </w:tc>
      </w:tr>
      <w:tr w:rsidR="006368FF" w:rsidRPr="001747D7" w:rsidTr="00037C05">
        <w:trPr>
          <w:trHeight w:val="3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Daugiau kaip 5000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1,2</w:t>
            </w:r>
          </w:p>
        </w:tc>
      </w:tr>
    </w:tbl>
    <w:p w:rsidR="00037C05" w:rsidRPr="001747D7" w:rsidRDefault="00037C05" w:rsidP="00037C05">
      <w:pPr>
        <w:jc w:val="center"/>
        <w:rPr>
          <w:szCs w:val="24"/>
        </w:rPr>
      </w:pPr>
      <w:r>
        <w:rPr>
          <w:szCs w:val="24"/>
          <w:lang w:eastAsia="lt-LT"/>
        </w:rPr>
        <w:lastRenderedPageBreak/>
        <w:t>3</w:t>
      </w:r>
    </w:p>
    <w:p w:rsidR="006368FF" w:rsidRPr="001747D7" w:rsidRDefault="006368FF" w:rsidP="006368FF">
      <w:pPr>
        <w:jc w:val="both"/>
        <w:rPr>
          <w:rFonts w:eastAsia="Calibri"/>
          <w:szCs w:val="24"/>
        </w:rPr>
      </w:pPr>
    </w:p>
    <w:p w:rsidR="006368FF" w:rsidRDefault="006368FF" w:rsidP="006368FF">
      <w:pPr>
        <w:ind w:firstLine="284"/>
        <w:jc w:val="both"/>
        <w:rPr>
          <w:szCs w:val="24"/>
        </w:rPr>
      </w:pPr>
      <w:r w:rsidRPr="001747D7">
        <w:rPr>
          <w:szCs w:val="24"/>
        </w:rPr>
        <w:t>2.k</w:t>
      </w:r>
      <w:r w:rsidRPr="001747D7">
        <w:rPr>
          <w:szCs w:val="24"/>
          <w:vertAlign w:val="subscript"/>
        </w:rPr>
        <w:t>y</w:t>
      </w:r>
      <w:r w:rsidRPr="001747D7">
        <w:rPr>
          <w:szCs w:val="24"/>
        </w:rPr>
        <w:t xml:space="preserve">– namo techninės priežiūros ypatumų įvertinimo koeficientai </w:t>
      </w:r>
    </w:p>
    <w:p w:rsidR="006368FF" w:rsidRPr="001747D7" w:rsidRDefault="006368FF" w:rsidP="006368FF">
      <w:pPr>
        <w:jc w:val="both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556"/>
        <w:gridCol w:w="7241"/>
        <w:gridCol w:w="1864"/>
      </w:tblGrid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  <w:p w:rsidR="006368FF" w:rsidRPr="001747D7" w:rsidRDefault="006368FF" w:rsidP="00303286">
            <w:pPr>
              <w:jc w:val="both"/>
              <w:rPr>
                <w:szCs w:val="24"/>
              </w:rPr>
            </w:pPr>
            <w:r w:rsidRPr="001747D7">
              <w:rPr>
                <w:szCs w:val="24"/>
              </w:rPr>
              <w:t>Eil.</w:t>
            </w:r>
          </w:p>
          <w:p w:rsidR="006368FF" w:rsidRPr="001747D7" w:rsidRDefault="000965F6" w:rsidP="00303286">
            <w:pPr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</w:rPr>
              <w:t>n</w:t>
            </w:r>
            <w:r w:rsidR="006368FF" w:rsidRPr="001747D7">
              <w:rPr>
                <w:szCs w:val="24"/>
              </w:rPr>
              <w:t>r.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</w:p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Namo ypatumai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</w:p>
          <w:p w:rsidR="006368FF" w:rsidRPr="001747D7" w:rsidRDefault="006368FF" w:rsidP="00303286">
            <w:pPr>
              <w:jc w:val="center"/>
              <w:rPr>
                <w:b/>
                <w:szCs w:val="24"/>
              </w:rPr>
            </w:pPr>
            <w:r w:rsidRPr="001747D7">
              <w:rPr>
                <w:szCs w:val="24"/>
              </w:rPr>
              <w:t xml:space="preserve">Koeficientas </w:t>
            </w:r>
            <w:proofErr w:type="spellStart"/>
            <w:r w:rsidRPr="001747D7">
              <w:rPr>
                <w:szCs w:val="24"/>
              </w:rPr>
              <w:t>k</w:t>
            </w:r>
            <w:r w:rsidRPr="001747D7">
              <w:rPr>
                <w:szCs w:val="24"/>
                <w:vertAlign w:val="subscript"/>
              </w:rPr>
              <w:t>y</w:t>
            </w:r>
            <w:proofErr w:type="spellEnd"/>
          </w:p>
          <w:p w:rsidR="006368FF" w:rsidRPr="001747D7" w:rsidRDefault="006368FF" w:rsidP="00303286">
            <w:pPr>
              <w:jc w:val="center"/>
              <w:rPr>
                <w:rFonts w:eastAsia="Calibri"/>
                <w:b/>
                <w:szCs w:val="24"/>
              </w:rPr>
            </w:pP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kuriuose neįrengta bendroji geriamojo vandens tiekimo inžinerinė sistema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0,97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2.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kuriuose neįrengta bendroji nuotekų šalinimo inžinerinė sistema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0,97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3.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kuriuose neįrengta bendroji elektros inžinerinė sistema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0,98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4.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kuriuose nėra bendrojo naudojimo patalpų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0,98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5.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 be išskirtinių techninės priežiūros ypatumų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1,00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6.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kuriuose įrengta bendroji saugos ir ryšių sistema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1,01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7.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kurių stogas – šlaitinis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1,15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8.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Bendrabučio tipo namai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1,15</w:t>
            </w:r>
          </w:p>
        </w:tc>
      </w:tr>
    </w:tbl>
    <w:p w:rsidR="006368FF" w:rsidRPr="001747D7" w:rsidRDefault="006368FF" w:rsidP="006368FF">
      <w:pPr>
        <w:ind w:firstLine="720"/>
        <w:jc w:val="both"/>
        <w:rPr>
          <w:rFonts w:eastAsia="Calibri"/>
          <w:szCs w:val="24"/>
        </w:rPr>
      </w:pPr>
    </w:p>
    <w:p w:rsidR="006368FF" w:rsidRPr="001747D7" w:rsidRDefault="006368FF" w:rsidP="00206DE3">
      <w:pPr>
        <w:spacing w:line="360" w:lineRule="auto"/>
        <w:ind w:firstLine="567"/>
        <w:jc w:val="both"/>
        <w:rPr>
          <w:szCs w:val="24"/>
        </w:rPr>
      </w:pPr>
      <w:r w:rsidRPr="001747D7">
        <w:rPr>
          <w:szCs w:val="24"/>
        </w:rPr>
        <w:t xml:space="preserve">3. </w:t>
      </w:r>
      <w:proofErr w:type="spellStart"/>
      <w:r w:rsidRPr="001747D7">
        <w:rPr>
          <w:szCs w:val="24"/>
        </w:rPr>
        <w:t>k</w:t>
      </w:r>
      <w:r w:rsidRPr="001747D7">
        <w:rPr>
          <w:szCs w:val="24"/>
          <w:vertAlign w:val="subscript"/>
        </w:rPr>
        <w:t>pr</w:t>
      </w:r>
      <w:proofErr w:type="spellEnd"/>
      <w:r w:rsidRPr="001747D7">
        <w:rPr>
          <w:szCs w:val="24"/>
        </w:rPr>
        <w:t xml:space="preserve"> – socialinio draudimo, transporto, ūkio reikmėms tenkančių pridėtinių ir kitų netiesioginių išlaidų įvertinimo koeficientas – 1,35. </w:t>
      </w:r>
    </w:p>
    <w:p w:rsidR="00206DE3" w:rsidRDefault="00206DE3" w:rsidP="00206DE3">
      <w:pPr>
        <w:spacing w:line="360" w:lineRule="auto"/>
        <w:ind w:firstLine="567"/>
        <w:rPr>
          <w:szCs w:val="24"/>
          <w:lang w:eastAsia="lt-LT"/>
        </w:rPr>
      </w:pPr>
      <w:bookmarkStart w:id="4" w:name="part_79b063ee80f44e82a862ac8d27d67f43"/>
      <w:bookmarkEnd w:id="4"/>
      <w:r w:rsidRPr="00023429">
        <w:rPr>
          <w:szCs w:val="24"/>
          <w:lang w:eastAsia="lt-LT"/>
        </w:rPr>
        <w:t>Maksimalūs tarifai apskaičiuojami pagal formulę:</w:t>
      </w:r>
    </w:p>
    <w:p w:rsidR="003C5347" w:rsidRPr="00023429" w:rsidRDefault="003C5347" w:rsidP="00276C35">
      <w:pPr>
        <w:spacing w:line="360" w:lineRule="auto"/>
        <w:ind w:firstLine="567"/>
        <w:jc w:val="both"/>
        <w:rPr>
          <w:szCs w:val="24"/>
          <w:lang w:val="en-US" w:eastAsia="lt-LT"/>
        </w:rPr>
      </w:pPr>
      <w:proofErr w:type="spellStart"/>
      <w:r w:rsidRPr="00023429">
        <w:rPr>
          <w:szCs w:val="24"/>
          <w:lang w:eastAsia="lt-LT"/>
        </w:rPr>
        <w:t>T</w:t>
      </w:r>
      <w:r w:rsidRPr="00023429">
        <w:rPr>
          <w:szCs w:val="24"/>
          <w:vertAlign w:val="subscript"/>
          <w:lang w:eastAsia="lt-LT"/>
        </w:rPr>
        <w:t>max</w:t>
      </w:r>
      <w:proofErr w:type="spellEnd"/>
      <w:r w:rsidRPr="00023429">
        <w:rPr>
          <w:szCs w:val="24"/>
          <w:lang w:eastAsia="lt-LT"/>
        </w:rPr>
        <w:t xml:space="preserve"> = T × </w:t>
      </w:r>
      <w:proofErr w:type="spellStart"/>
      <w:r w:rsidRPr="00023429">
        <w:rPr>
          <w:szCs w:val="24"/>
          <w:lang w:eastAsia="lt-LT"/>
        </w:rPr>
        <w:t>k</w:t>
      </w:r>
      <w:r w:rsidRPr="00023429">
        <w:rPr>
          <w:szCs w:val="24"/>
          <w:vertAlign w:val="subscript"/>
          <w:lang w:eastAsia="lt-LT"/>
        </w:rPr>
        <w:t>d</w:t>
      </w:r>
      <w:proofErr w:type="spellEnd"/>
      <w:r w:rsidRPr="00023429">
        <w:rPr>
          <w:szCs w:val="24"/>
          <w:lang w:eastAsia="lt-LT"/>
        </w:rPr>
        <w:t xml:space="preserve"> × </w:t>
      </w:r>
      <w:proofErr w:type="spellStart"/>
      <w:r w:rsidRPr="00023429">
        <w:rPr>
          <w:szCs w:val="24"/>
          <w:lang w:eastAsia="lt-LT"/>
        </w:rPr>
        <w:t>k</w:t>
      </w:r>
      <w:r w:rsidRPr="00023429">
        <w:rPr>
          <w:szCs w:val="24"/>
          <w:vertAlign w:val="subscript"/>
          <w:lang w:eastAsia="lt-LT"/>
        </w:rPr>
        <w:t>y</w:t>
      </w:r>
      <w:proofErr w:type="spellEnd"/>
      <w:r w:rsidRPr="00023429">
        <w:rPr>
          <w:szCs w:val="24"/>
          <w:lang w:eastAsia="lt-LT"/>
        </w:rPr>
        <w:t>,</w:t>
      </w:r>
      <w:r w:rsidRPr="00023429">
        <w:rPr>
          <w:szCs w:val="24"/>
          <w:lang w:val="en-US" w:eastAsia="lt-LT"/>
        </w:rPr>
        <w:t> </w:t>
      </w:r>
      <w:r w:rsidRPr="00023429">
        <w:rPr>
          <w:szCs w:val="24"/>
          <w:lang w:eastAsia="lt-LT"/>
        </w:rPr>
        <w:t>kur:</w:t>
      </w:r>
    </w:p>
    <w:p w:rsidR="003C5347" w:rsidRPr="00023429" w:rsidRDefault="003C5347" w:rsidP="00276C35">
      <w:pPr>
        <w:spacing w:line="360" w:lineRule="auto"/>
        <w:ind w:firstLine="567"/>
        <w:jc w:val="both"/>
        <w:rPr>
          <w:szCs w:val="24"/>
          <w:lang w:val="en-US" w:eastAsia="lt-LT"/>
        </w:rPr>
      </w:pPr>
      <w:proofErr w:type="spellStart"/>
      <w:r w:rsidRPr="00023429">
        <w:rPr>
          <w:szCs w:val="24"/>
          <w:lang w:eastAsia="lt-LT"/>
        </w:rPr>
        <w:t>T</w:t>
      </w:r>
      <w:r w:rsidRPr="00023429">
        <w:rPr>
          <w:szCs w:val="24"/>
          <w:vertAlign w:val="subscript"/>
          <w:lang w:eastAsia="lt-LT"/>
        </w:rPr>
        <w:t>max</w:t>
      </w:r>
      <w:proofErr w:type="spellEnd"/>
      <w:r w:rsidRPr="00023429">
        <w:rPr>
          <w:szCs w:val="24"/>
          <w:lang w:eastAsia="lt-LT"/>
        </w:rPr>
        <w:t xml:space="preserve"> – maksimalus tarifas, </w:t>
      </w:r>
      <w:proofErr w:type="spellStart"/>
      <w:r w:rsidRPr="00023429">
        <w:rPr>
          <w:szCs w:val="24"/>
          <w:lang w:eastAsia="lt-LT"/>
        </w:rPr>
        <w:t>Eur</w:t>
      </w:r>
      <w:proofErr w:type="spellEnd"/>
      <w:r>
        <w:rPr>
          <w:szCs w:val="24"/>
          <w:lang w:eastAsia="lt-LT"/>
        </w:rPr>
        <w:t xml:space="preserve"> už </w:t>
      </w:r>
      <w:r w:rsidRPr="00023429">
        <w:rPr>
          <w:szCs w:val="24"/>
          <w:lang w:eastAsia="lt-LT"/>
        </w:rPr>
        <w:t>m</w:t>
      </w:r>
      <w:r w:rsidRPr="00023429">
        <w:rPr>
          <w:szCs w:val="24"/>
          <w:vertAlign w:val="superscript"/>
          <w:lang w:eastAsia="lt-LT"/>
        </w:rPr>
        <w:t>2</w:t>
      </w:r>
      <w:r w:rsidRPr="00023429">
        <w:rPr>
          <w:szCs w:val="24"/>
          <w:lang w:eastAsia="lt-LT"/>
        </w:rPr>
        <w:t>/mėn. (nurodomas be PVM ir tarifas su PVM);</w:t>
      </w:r>
    </w:p>
    <w:p w:rsidR="003C5347" w:rsidRPr="00023429" w:rsidRDefault="003C5347" w:rsidP="00276C35">
      <w:pPr>
        <w:spacing w:line="360" w:lineRule="auto"/>
        <w:ind w:firstLine="567"/>
        <w:jc w:val="both"/>
        <w:rPr>
          <w:szCs w:val="24"/>
          <w:lang w:val="en-US" w:eastAsia="lt-LT"/>
        </w:rPr>
      </w:pPr>
      <w:r w:rsidRPr="00023429">
        <w:rPr>
          <w:szCs w:val="24"/>
          <w:lang w:eastAsia="lt-LT"/>
        </w:rPr>
        <w:t xml:space="preserve">T – vidutinio dydžio namo tarifas, </w:t>
      </w:r>
      <w:proofErr w:type="spellStart"/>
      <w:r w:rsidRPr="00023429">
        <w:rPr>
          <w:szCs w:val="24"/>
          <w:lang w:eastAsia="lt-LT"/>
        </w:rPr>
        <w:t>Eur</w:t>
      </w:r>
      <w:proofErr w:type="spellEnd"/>
      <w:r>
        <w:rPr>
          <w:szCs w:val="24"/>
          <w:lang w:eastAsia="lt-LT"/>
        </w:rPr>
        <w:t xml:space="preserve"> už </w:t>
      </w:r>
      <w:r w:rsidRPr="00023429">
        <w:rPr>
          <w:szCs w:val="24"/>
          <w:lang w:eastAsia="lt-LT"/>
        </w:rPr>
        <w:t>m</w:t>
      </w:r>
      <w:r w:rsidRPr="00023429">
        <w:rPr>
          <w:szCs w:val="24"/>
          <w:vertAlign w:val="superscript"/>
          <w:lang w:eastAsia="lt-LT"/>
        </w:rPr>
        <w:t>2</w:t>
      </w:r>
      <w:r w:rsidRPr="00023429">
        <w:rPr>
          <w:szCs w:val="24"/>
          <w:lang w:eastAsia="lt-LT"/>
        </w:rPr>
        <w:t>/mėn.;</w:t>
      </w:r>
    </w:p>
    <w:p w:rsidR="006368FF" w:rsidRDefault="003C5347" w:rsidP="00276C35">
      <w:pPr>
        <w:spacing w:line="360" w:lineRule="auto"/>
        <w:ind w:firstLine="567"/>
        <w:jc w:val="both"/>
        <w:rPr>
          <w:szCs w:val="24"/>
          <w:lang w:eastAsia="lt-LT"/>
        </w:rPr>
      </w:pPr>
      <w:proofErr w:type="spellStart"/>
      <w:r w:rsidRPr="00023429">
        <w:rPr>
          <w:szCs w:val="24"/>
          <w:lang w:eastAsia="lt-LT"/>
        </w:rPr>
        <w:t>k</w:t>
      </w:r>
      <w:r w:rsidRPr="00023429">
        <w:rPr>
          <w:szCs w:val="24"/>
          <w:vertAlign w:val="subscript"/>
          <w:lang w:eastAsia="lt-LT"/>
        </w:rPr>
        <w:t>d</w:t>
      </w:r>
      <w:proofErr w:type="spellEnd"/>
      <w:r w:rsidRPr="00023429">
        <w:rPr>
          <w:szCs w:val="24"/>
          <w:lang w:eastAsia="lt-LT"/>
        </w:rPr>
        <w:t xml:space="preserve"> ‒ namo dydžio, išreikšto suminiu butų ir kitų patalpų naudinguoju plotu, įvertinimo koeficientas</w:t>
      </w:r>
      <w:r w:rsidR="001A2831">
        <w:rPr>
          <w:szCs w:val="24"/>
          <w:lang w:eastAsia="lt-LT"/>
        </w:rPr>
        <w:t>.</w:t>
      </w:r>
      <w:r w:rsidRPr="00023429">
        <w:rPr>
          <w:szCs w:val="24"/>
          <w:lang w:eastAsia="lt-LT"/>
        </w:rPr>
        <w:t xml:space="preserve"> Suminis namo butų ir kitų patalpų naudingasis plotas apskaičiuojamas vadovaujantis </w:t>
      </w:r>
    </w:p>
    <w:p w:rsidR="003C5347" w:rsidRPr="00031D30" w:rsidRDefault="003C5347" w:rsidP="006368FF">
      <w:pPr>
        <w:spacing w:line="360" w:lineRule="auto"/>
        <w:jc w:val="both"/>
        <w:rPr>
          <w:szCs w:val="24"/>
          <w:lang w:eastAsia="lt-LT"/>
        </w:rPr>
      </w:pPr>
      <w:r w:rsidRPr="00023429">
        <w:rPr>
          <w:szCs w:val="24"/>
          <w:lang w:eastAsia="lt-LT"/>
        </w:rPr>
        <w:t xml:space="preserve">Nekilnojamojo turto kadastrinių matavimų </w:t>
      </w:r>
      <w:r w:rsidR="006368FF">
        <w:rPr>
          <w:szCs w:val="24"/>
          <w:lang w:eastAsia="lt-LT"/>
        </w:rPr>
        <w:t>duomenimis.</w:t>
      </w:r>
    </w:p>
    <w:p w:rsidR="003C5347" w:rsidRDefault="003C5347" w:rsidP="00276C35">
      <w:pPr>
        <w:spacing w:line="360" w:lineRule="auto"/>
        <w:ind w:firstLine="567"/>
        <w:jc w:val="both"/>
        <w:rPr>
          <w:szCs w:val="24"/>
          <w:lang w:eastAsia="lt-LT"/>
        </w:rPr>
      </w:pPr>
      <w:proofErr w:type="spellStart"/>
      <w:r w:rsidRPr="00023429">
        <w:rPr>
          <w:szCs w:val="24"/>
          <w:lang w:eastAsia="lt-LT"/>
        </w:rPr>
        <w:t>k</w:t>
      </w:r>
      <w:r w:rsidRPr="00023429">
        <w:rPr>
          <w:szCs w:val="24"/>
          <w:vertAlign w:val="subscript"/>
          <w:lang w:eastAsia="lt-LT"/>
        </w:rPr>
        <w:t>y</w:t>
      </w:r>
      <w:proofErr w:type="spellEnd"/>
      <w:r w:rsidRPr="00023429">
        <w:rPr>
          <w:szCs w:val="24"/>
          <w:lang w:eastAsia="lt-LT"/>
        </w:rPr>
        <w:t>– namo techninės priežiūros ypatumų įvertinimo koeficientai</w:t>
      </w:r>
      <w:r w:rsidR="006368FF">
        <w:rPr>
          <w:szCs w:val="24"/>
          <w:lang w:eastAsia="lt-LT"/>
        </w:rPr>
        <w:t>.</w:t>
      </w:r>
    </w:p>
    <w:p w:rsidR="00954613" w:rsidRDefault="00954613" w:rsidP="00954613">
      <w:pPr>
        <w:spacing w:line="360" w:lineRule="auto"/>
        <w:ind w:firstLine="567"/>
        <w:jc w:val="both"/>
        <w:rPr>
          <w:szCs w:val="24"/>
          <w:lang w:eastAsia="lt-LT"/>
        </w:rPr>
      </w:pPr>
      <w:r w:rsidRPr="00A07EEB">
        <w:rPr>
          <w:szCs w:val="24"/>
        </w:rPr>
        <w:t>Vadovaujantis Lietuvos Respublikos aplinkos ministro įsakymu patvirtinta</w:t>
      </w:r>
      <w:r w:rsidR="00B3066A">
        <w:rPr>
          <w:szCs w:val="24"/>
        </w:rPr>
        <w:t xml:space="preserve"> </w:t>
      </w:r>
      <w:r w:rsidRPr="00A07EEB">
        <w:rPr>
          <w:szCs w:val="24"/>
        </w:rPr>
        <w:t>Metodika</w:t>
      </w:r>
      <w:r>
        <w:rPr>
          <w:szCs w:val="24"/>
        </w:rPr>
        <w:t xml:space="preserve">, </w:t>
      </w:r>
      <w:r w:rsidRPr="00A07EEB">
        <w:rPr>
          <w:szCs w:val="24"/>
          <w:lang w:eastAsia="lt-LT"/>
        </w:rPr>
        <w:t>atlikti maksimalių tarifų skaičiavimo projektai namų grupėms</w:t>
      </w:r>
      <w:r>
        <w:rPr>
          <w:szCs w:val="24"/>
          <w:lang w:eastAsia="lt-LT"/>
        </w:rPr>
        <w:t>.</w:t>
      </w:r>
    </w:p>
    <w:p w:rsidR="00A7730A" w:rsidRDefault="00B53DEB" w:rsidP="00276C35">
      <w:pPr>
        <w:spacing w:line="360" w:lineRule="auto"/>
        <w:ind w:firstLine="567"/>
        <w:jc w:val="both"/>
        <w:rPr>
          <w:szCs w:val="24"/>
          <w:lang w:eastAsia="lt-LT"/>
        </w:rPr>
      </w:pPr>
      <w:r w:rsidRPr="00B53DEB">
        <w:rPr>
          <w:szCs w:val="24"/>
          <w:lang w:eastAsia="lt-LT"/>
        </w:rPr>
        <w:t>Pridedama</w:t>
      </w:r>
      <w:r>
        <w:rPr>
          <w:szCs w:val="24"/>
          <w:lang w:eastAsia="lt-LT"/>
        </w:rPr>
        <w:t>:</w:t>
      </w:r>
      <w:r w:rsidRPr="00B53DEB">
        <w:rPr>
          <w:szCs w:val="24"/>
          <w:lang w:eastAsia="lt-LT"/>
        </w:rPr>
        <w:t xml:space="preserve"> </w:t>
      </w:r>
      <w:r w:rsidR="00EC38B1">
        <w:rPr>
          <w:szCs w:val="24"/>
          <w:lang w:eastAsia="lt-LT"/>
        </w:rPr>
        <w:t xml:space="preserve">Daugiabučių gyvenamųjų namų techninės priežiūros maksimalių tarifų sąrašo lyginamasis variantas, </w:t>
      </w:r>
      <w:r w:rsidRPr="00B53DEB">
        <w:rPr>
          <w:szCs w:val="24"/>
          <w:lang w:eastAsia="lt-LT"/>
        </w:rPr>
        <w:t xml:space="preserve">bendro naudojimo objektų administratoriaus UAB „Kaišiadorių butų ūkis“ </w:t>
      </w:r>
      <w:r w:rsidR="00037C05">
        <w:rPr>
          <w:szCs w:val="24"/>
        </w:rPr>
        <w:t xml:space="preserve"> daugiabučių namų techninės priežiūros darbų ir laiko sąnaudų aprašas, Daugiabučių gyvenamųjų namų techninės priežiūros tarifo apskaičiavimo metodikos 2 priedas.</w:t>
      </w:r>
    </w:p>
    <w:p w:rsidR="00A7730A" w:rsidRPr="00B53DEB" w:rsidRDefault="00A7730A" w:rsidP="00276C35">
      <w:pPr>
        <w:spacing w:line="360" w:lineRule="auto"/>
        <w:ind w:firstLine="567"/>
        <w:jc w:val="both"/>
        <w:rPr>
          <w:szCs w:val="24"/>
          <w:lang w:eastAsia="lt-LT"/>
        </w:rPr>
      </w:pPr>
    </w:p>
    <w:p w:rsidR="00917B92" w:rsidRDefault="00917B92" w:rsidP="00917B92">
      <w:pPr>
        <w:pStyle w:val="Sraopastraipa"/>
        <w:spacing w:before="40" w:after="2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17B92" w:rsidRDefault="00917B92" w:rsidP="00917B92">
      <w:pPr>
        <w:pStyle w:val="Pagrindinistekstas"/>
        <w:ind w:firstLine="567"/>
        <w:rPr>
          <w:bCs/>
        </w:rPr>
      </w:pPr>
    </w:p>
    <w:p w:rsidR="00917B92" w:rsidRPr="00644C55" w:rsidRDefault="00917B92" w:rsidP="00917B92">
      <w:pPr>
        <w:rPr>
          <w:lang w:eastAsia="lt-LT"/>
        </w:rPr>
      </w:pPr>
      <w:r w:rsidRPr="00BB36EA">
        <w:rPr>
          <w:szCs w:val="24"/>
        </w:rPr>
        <w:t>Turto valdymo</w:t>
      </w:r>
      <w:r w:rsidR="00946F03">
        <w:rPr>
          <w:szCs w:val="24"/>
        </w:rPr>
        <w:t xml:space="preserve"> </w:t>
      </w:r>
      <w:r w:rsidRPr="00B02FD2">
        <w:rPr>
          <w:szCs w:val="24"/>
        </w:rPr>
        <w:t xml:space="preserve">skyriaus vyriausioji specialistė  </w:t>
      </w:r>
      <w:r>
        <w:rPr>
          <w:szCs w:val="24"/>
        </w:rPr>
        <w:tab/>
      </w:r>
      <w:r w:rsidR="006368FF">
        <w:rPr>
          <w:szCs w:val="24"/>
        </w:rPr>
        <w:tab/>
      </w:r>
      <w:r>
        <w:rPr>
          <w:szCs w:val="24"/>
        </w:rPr>
        <w:tab/>
      </w:r>
      <w:r w:rsidRPr="00B02FD2">
        <w:rPr>
          <w:szCs w:val="24"/>
        </w:rPr>
        <w:t>Edita Leonavičienė</w:t>
      </w:r>
    </w:p>
    <w:p w:rsidR="00EF3F9B" w:rsidRDefault="00EF3F9B" w:rsidP="00E146C7">
      <w:pPr>
        <w:ind w:left="2127" w:hanging="2127"/>
        <w:jc w:val="center"/>
        <w:rPr>
          <w:b/>
          <w:szCs w:val="24"/>
        </w:rPr>
      </w:pPr>
    </w:p>
    <w:sectPr w:rsidR="00EF3F9B" w:rsidSect="000F6926">
      <w:pgSz w:w="11906" w:h="16838" w:code="9"/>
      <w:pgMar w:top="1079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Antrat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Antrat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Antrat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Antrat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stylePaneFormatFilter w:val="3F01"/>
  <w:defaultTabStop w:val="1296"/>
  <w:hyphenationZone w:val="396"/>
  <w:drawingGridHorizontalSpacing w:val="120"/>
  <w:displayHorizontalDrawingGridEvery w:val="2"/>
  <w:characterSpacingControl w:val="doNotCompress"/>
  <w:compat/>
  <w:rsids>
    <w:rsidRoot w:val="00F158CA"/>
    <w:rsid w:val="00031D30"/>
    <w:rsid w:val="00036B2B"/>
    <w:rsid w:val="00037C05"/>
    <w:rsid w:val="00046843"/>
    <w:rsid w:val="000843BA"/>
    <w:rsid w:val="000965F6"/>
    <w:rsid w:val="000A0433"/>
    <w:rsid w:val="000B4AE5"/>
    <w:rsid w:val="000C28BD"/>
    <w:rsid w:val="000C49E2"/>
    <w:rsid w:val="000F36A6"/>
    <w:rsid w:val="000F6926"/>
    <w:rsid w:val="001044B9"/>
    <w:rsid w:val="0014127C"/>
    <w:rsid w:val="0015252C"/>
    <w:rsid w:val="00184C73"/>
    <w:rsid w:val="001A2831"/>
    <w:rsid w:val="001B2044"/>
    <w:rsid w:val="001D5741"/>
    <w:rsid w:val="001F70DE"/>
    <w:rsid w:val="00200EF6"/>
    <w:rsid w:val="00206DE3"/>
    <w:rsid w:val="0022465C"/>
    <w:rsid w:val="002250AB"/>
    <w:rsid w:val="00255D54"/>
    <w:rsid w:val="00276C35"/>
    <w:rsid w:val="00286E4C"/>
    <w:rsid w:val="002A0C40"/>
    <w:rsid w:val="002B0682"/>
    <w:rsid w:val="002B79D4"/>
    <w:rsid w:val="002C603A"/>
    <w:rsid w:val="002D272F"/>
    <w:rsid w:val="00302E42"/>
    <w:rsid w:val="003255C6"/>
    <w:rsid w:val="00341E42"/>
    <w:rsid w:val="00350756"/>
    <w:rsid w:val="00364722"/>
    <w:rsid w:val="00382304"/>
    <w:rsid w:val="003A058C"/>
    <w:rsid w:val="003A3C54"/>
    <w:rsid w:val="003B7EF0"/>
    <w:rsid w:val="003C32FC"/>
    <w:rsid w:val="003C5347"/>
    <w:rsid w:val="003F2A9B"/>
    <w:rsid w:val="0041398B"/>
    <w:rsid w:val="004208AB"/>
    <w:rsid w:val="00421B48"/>
    <w:rsid w:val="00422CB4"/>
    <w:rsid w:val="004461B5"/>
    <w:rsid w:val="0045131F"/>
    <w:rsid w:val="004F0403"/>
    <w:rsid w:val="00505D2A"/>
    <w:rsid w:val="00544E97"/>
    <w:rsid w:val="00561112"/>
    <w:rsid w:val="005B2653"/>
    <w:rsid w:val="00603873"/>
    <w:rsid w:val="00603F4C"/>
    <w:rsid w:val="00624F5D"/>
    <w:rsid w:val="006368FF"/>
    <w:rsid w:val="00642F65"/>
    <w:rsid w:val="006745CF"/>
    <w:rsid w:val="006B2E5C"/>
    <w:rsid w:val="006C386E"/>
    <w:rsid w:val="00723956"/>
    <w:rsid w:val="007456AA"/>
    <w:rsid w:val="00776B0C"/>
    <w:rsid w:val="00794D6A"/>
    <w:rsid w:val="007A2FD9"/>
    <w:rsid w:val="007B2C12"/>
    <w:rsid w:val="007F032D"/>
    <w:rsid w:val="00820E6C"/>
    <w:rsid w:val="008263C2"/>
    <w:rsid w:val="00843B9A"/>
    <w:rsid w:val="00861ACC"/>
    <w:rsid w:val="008905F0"/>
    <w:rsid w:val="008B0490"/>
    <w:rsid w:val="008F2B96"/>
    <w:rsid w:val="008F5154"/>
    <w:rsid w:val="00917B92"/>
    <w:rsid w:val="00926E32"/>
    <w:rsid w:val="0094152A"/>
    <w:rsid w:val="00946F03"/>
    <w:rsid w:val="00954613"/>
    <w:rsid w:val="00972891"/>
    <w:rsid w:val="009B26BE"/>
    <w:rsid w:val="009C0150"/>
    <w:rsid w:val="00A0670E"/>
    <w:rsid w:val="00A112A6"/>
    <w:rsid w:val="00A626B8"/>
    <w:rsid w:val="00A7730A"/>
    <w:rsid w:val="00A817B3"/>
    <w:rsid w:val="00B3066A"/>
    <w:rsid w:val="00B30FB0"/>
    <w:rsid w:val="00B53DEB"/>
    <w:rsid w:val="00B667AF"/>
    <w:rsid w:val="00B67556"/>
    <w:rsid w:val="00B71680"/>
    <w:rsid w:val="00B74D68"/>
    <w:rsid w:val="00B93EB2"/>
    <w:rsid w:val="00B94234"/>
    <w:rsid w:val="00BB0A4F"/>
    <w:rsid w:val="00BC1EAC"/>
    <w:rsid w:val="00C11C28"/>
    <w:rsid w:val="00C562C3"/>
    <w:rsid w:val="00C5691D"/>
    <w:rsid w:val="00CA6856"/>
    <w:rsid w:val="00CB3642"/>
    <w:rsid w:val="00CF7EB5"/>
    <w:rsid w:val="00D13BA3"/>
    <w:rsid w:val="00D34C21"/>
    <w:rsid w:val="00D468A0"/>
    <w:rsid w:val="00D63935"/>
    <w:rsid w:val="00D81129"/>
    <w:rsid w:val="00D87576"/>
    <w:rsid w:val="00DF62B7"/>
    <w:rsid w:val="00E146C7"/>
    <w:rsid w:val="00E168F9"/>
    <w:rsid w:val="00E47749"/>
    <w:rsid w:val="00E915BE"/>
    <w:rsid w:val="00E924A3"/>
    <w:rsid w:val="00EB7D2D"/>
    <w:rsid w:val="00EC38B1"/>
    <w:rsid w:val="00EF3F9B"/>
    <w:rsid w:val="00F05A82"/>
    <w:rsid w:val="00F158CA"/>
    <w:rsid w:val="00F17711"/>
    <w:rsid w:val="00F36AAA"/>
    <w:rsid w:val="00F512A3"/>
    <w:rsid w:val="00F87763"/>
    <w:rsid w:val="00FA788F"/>
    <w:rsid w:val="00FD4FD9"/>
    <w:rsid w:val="00FD6D0B"/>
    <w:rsid w:val="00FF1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F158CA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Antrat1">
    <w:name w:val="heading 1"/>
    <w:basedOn w:val="prastasis"/>
    <w:next w:val="prastasis"/>
    <w:link w:val="Antrat1Diagrama"/>
    <w:qFormat/>
    <w:rsid w:val="00F158CA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Antrat2">
    <w:name w:val="heading 2"/>
    <w:basedOn w:val="prastasis"/>
    <w:next w:val="prastasis"/>
    <w:qFormat/>
    <w:rsid w:val="00F158CA"/>
    <w:pPr>
      <w:keepNext/>
      <w:numPr>
        <w:ilvl w:val="1"/>
        <w:numId w:val="1"/>
      </w:numPr>
      <w:outlineLvl w:val="1"/>
    </w:pPr>
  </w:style>
  <w:style w:type="paragraph" w:styleId="Antrat3">
    <w:name w:val="heading 3"/>
    <w:basedOn w:val="prastasis"/>
    <w:next w:val="prastasis"/>
    <w:qFormat/>
    <w:rsid w:val="00F158CA"/>
    <w:pPr>
      <w:keepNext/>
      <w:widowControl/>
      <w:numPr>
        <w:ilvl w:val="2"/>
        <w:numId w:val="1"/>
      </w:numPr>
      <w:jc w:val="center"/>
      <w:outlineLvl w:val="2"/>
    </w:pPr>
  </w:style>
  <w:style w:type="paragraph" w:styleId="Antrat4">
    <w:name w:val="heading 4"/>
    <w:basedOn w:val="prastasis"/>
    <w:next w:val="prastasis"/>
    <w:qFormat/>
    <w:rsid w:val="00F158CA"/>
    <w:pPr>
      <w:keepNext/>
      <w:widowControl/>
      <w:numPr>
        <w:ilvl w:val="3"/>
        <w:numId w:val="1"/>
      </w:numPr>
      <w:spacing w:line="360" w:lineRule="auto"/>
      <w:jc w:val="both"/>
      <w:outlineLvl w:val="3"/>
    </w:pPr>
    <w:rPr>
      <w:b/>
      <w:bCs/>
    </w:rPr>
  </w:style>
  <w:style w:type="paragraph" w:styleId="Antrat5">
    <w:name w:val="heading 5"/>
    <w:basedOn w:val="prastasis"/>
    <w:next w:val="prastasis"/>
    <w:qFormat/>
    <w:rsid w:val="00F158CA"/>
    <w:pPr>
      <w:keepNext/>
      <w:numPr>
        <w:ilvl w:val="4"/>
        <w:numId w:val="1"/>
      </w:numPr>
      <w:spacing w:line="360" w:lineRule="auto"/>
      <w:jc w:val="both"/>
      <w:outlineLvl w:val="4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locked/>
    <w:rsid w:val="00F158CA"/>
    <w:rPr>
      <w:b/>
      <w:sz w:val="28"/>
      <w:lang w:val="lt-LT" w:eastAsia="ar-SA" w:bidi="ar-SA"/>
    </w:rPr>
  </w:style>
  <w:style w:type="paragraph" w:styleId="Antrats">
    <w:name w:val="header"/>
    <w:basedOn w:val="prastasis"/>
    <w:link w:val="AntratsDiagrama"/>
    <w:rsid w:val="00F158CA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semiHidden/>
    <w:locked/>
    <w:rsid w:val="00F158CA"/>
    <w:rPr>
      <w:sz w:val="24"/>
      <w:lang w:val="lt-LT" w:eastAsia="ar-SA" w:bidi="ar-SA"/>
    </w:rPr>
  </w:style>
  <w:style w:type="paragraph" w:styleId="Pagrindinistekstas">
    <w:name w:val="Body Text"/>
    <w:basedOn w:val="prastasis"/>
    <w:rsid w:val="00544E97"/>
    <w:pPr>
      <w:spacing w:after="120"/>
    </w:pPr>
  </w:style>
  <w:style w:type="paragraph" w:styleId="Debesliotekstas">
    <w:name w:val="Balloon Text"/>
    <w:basedOn w:val="prastasis"/>
    <w:semiHidden/>
    <w:rsid w:val="00A112A6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603F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raopastraipa">
    <w:name w:val="List Paragraph"/>
    <w:basedOn w:val="prastasis"/>
    <w:uiPriority w:val="99"/>
    <w:qFormat/>
    <w:rsid w:val="00917B92"/>
    <w:pPr>
      <w:widowControl/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styleId="Komentaronuoroda">
    <w:name w:val="annotation reference"/>
    <w:basedOn w:val="Numatytasispastraiposriftas"/>
    <w:rsid w:val="00B93EB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B93EB2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B93EB2"/>
    <w:rPr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93EB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B93EB2"/>
    <w:rPr>
      <w:b/>
      <w:bCs/>
      <w:lang w:eastAsia="ar-SA"/>
    </w:rPr>
  </w:style>
  <w:style w:type="paragraph" w:styleId="Pataisymai">
    <w:name w:val="Revision"/>
    <w:hidden/>
    <w:uiPriority w:val="99"/>
    <w:semiHidden/>
    <w:rsid w:val="00926E32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C8060-3674-42C1-AE9C-B24FA6228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6345</Words>
  <Characters>3617</Characters>
  <Application>Microsoft Office Word</Application>
  <DocSecurity>0</DocSecurity>
  <Lines>30</Lines>
  <Paragraphs>19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BUTŲ IR KITŲ PATALPŲ SAVININKŲ BENDROSIOS NUOSAVYBĖS ADMINISTRAVIMO IR NUOLATINĖS TECHNINĖS PRIEŽIŪROS TARIFŲ NUSTATYMO</vt:lpstr>
      <vt:lpstr>Projektas</vt:lpstr>
    </vt:vector>
  </TitlesOfParts>
  <Manager>2014-12-15</Manager>
  <Company/>
  <LinksUpToDate>false</LinksUpToDate>
  <CharactersWithSpaces>9943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BUTŲ IR KITŲ PATALPŲ SAVININKŲ BENDROSIOS NUOSAVYBĖS ADMINISTRAVIMO IR NUOLATINĖS TECHNINĖS PRIEŽIŪROS TARIFŲ NUSTATYMO</dc:title>
  <dc:subject>V17-450</dc:subject>
  <dc:creator>KAIŠIADORIŲ RAJONO SAVIVALDYBĖS TARYBA</dc:creator>
  <cp:lastModifiedBy>Edita Leonavičienė</cp:lastModifiedBy>
  <cp:revision>5</cp:revision>
  <cp:lastPrinted>2025-11-13T08:47:00Z</cp:lastPrinted>
  <dcterms:created xsi:type="dcterms:W3CDTF">2025-11-14T12:00:00Z</dcterms:created>
  <dcterms:modified xsi:type="dcterms:W3CDTF">2025-11-14T12:05:00Z</dcterms:modified>
  <cp:category>SPRENDIMAS</cp:category>
</cp:coreProperties>
</file>